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07" w:rsidRDefault="00662507" w:rsidP="00662507">
      <w:pPr>
        <w:shd w:val="clear" w:color="auto" w:fill="FFFFFF"/>
        <w:spacing w:before="100" w:beforeAutospacing="1" w:after="240" w:line="240" w:lineRule="auto"/>
        <w:textAlignment w:val="top"/>
        <w:rPr>
          <w:rFonts w:ascii="Verdana" w:eastAsia="Times New Roman" w:hAnsi="Verdana" w:cs="Arial"/>
          <w:b/>
          <w:bCs/>
          <w:color w:val="666666"/>
          <w:sz w:val="17"/>
          <w:lang w:eastAsia="pl-PL"/>
        </w:rPr>
      </w:pPr>
    </w:p>
    <w:p w:rsidR="008A0046" w:rsidRDefault="008A0046" w:rsidP="008A004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PROPONOWANE TEMATY ZAGADNIE</w:t>
      </w:r>
      <w:r>
        <w:rPr>
          <w:rFonts w:ascii="Arial,Bold" w:hAnsi="Arial,Bold" w:cs="Arial,Bold"/>
          <w:b/>
          <w:bCs/>
          <w:sz w:val="48"/>
          <w:szCs w:val="48"/>
        </w:rPr>
        <w:t>Ń</w:t>
      </w:r>
    </w:p>
    <w:p w:rsidR="008A0046" w:rsidRDefault="008A0046" w:rsidP="008A0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DO PRAC MAGISTERSKICH</w:t>
      </w:r>
    </w:p>
    <w:p w:rsidR="008A0046" w:rsidRDefault="004707AF" w:rsidP="008A0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Kierunek EKONOMIA</w:t>
      </w:r>
    </w:p>
    <w:p w:rsidR="008A0046" w:rsidRDefault="008A0046" w:rsidP="008A0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8A0046" w:rsidRDefault="008A0046" w:rsidP="008A0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STUDIA DRUGIEGO STOPNIA</w:t>
      </w:r>
    </w:p>
    <w:p w:rsidR="008A0046" w:rsidRDefault="0013369F" w:rsidP="008A0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stacjonarne, rok akademicki 2019/20</w:t>
      </w:r>
    </w:p>
    <w:p w:rsidR="008A0046" w:rsidRDefault="008A0046" w:rsidP="008A00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A0046" w:rsidRDefault="008A0046" w:rsidP="008A0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Przykładowe zakresy tematyczne:</w:t>
      </w:r>
    </w:p>
    <w:p w:rsidR="004707AF" w:rsidRDefault="004707AF" w:rsidP="008A00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27D2E" w:rsidRDefault="00BD70B0" w:rsidP="00927D2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p</w:t>
      </w:r>
      <w:r w:rsidR="00927D2E">
        <w:rPr>
          <w:rFonts w:ascii="Calibri,Bold" w:hAnsi="Calibri,Bold" w:cs="Calibri,Bold"/>
          <w:b/>
          <w:bCs/>
          <w:sz w:val="28"/>
          <w:szCs w:val="28"/>
          <w:u w:val="single"/>
        </w:rPr>
        <w:t>rof. dr hab. EWA OKOŃ-HORODYŃSKA</w:t>
      </w:r>
    </w:p>
    <w:p w:rsidR="00927D2E" w:rsidRDefault="00927D2E" w:rsidP="00927D2E">
      <w:pPr>
        <w:shd w:val="clear" w:color="auto" w:fill="FFFFFF"/>
        <w:spacing w:after="0"/>
        <w:textAlignment w:val="top"/>
        <w:rPr>
          <w:rFonts w:ascii="Calibri" w:eastAsia="Times New Roman" w:hAnsi="Calibri" w:cs="Arial"/>
          <w:lang w:eastAsia="pl-PL"/>
        </w:rPr>
      </w:pPr>
      <w:r w:rsidRPr="003823FA">
        <w:rPr>
          <w:rFonts w:ascii="Calibri" w:eastAsia="Times New Roman" w:hAnsi="Calibri" w:cs="Arial"/>
          <w:b/>
          <w:sz w:val="24"/>
          <w:szCs w:val="24"/>
          <w:lang w:eastAsia="pl-PL"/>
        </w:rPr>
        <w:br/>
      </w:r>
      <w:r w:rsidRPr="003823FA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1. Ekonomia innowacji</w:t>
      </w:r>
      <w:r w:rsidRPr="001B1625">
        <w:rPr>
          <w:rFonts w:ascii="Calibri" w:eastAsia="Times New Roman" w:hAnsi="Calibri" w:cs="Arial"/>
          <w:lang w:eastAsia="pl-PL"/>
        </w:rPr>
        <w:br/>
        <w:t>Innowacje jako czynnik rozwoju. Badanie zdolności gospodarki, regionu, przedsiębiorstwa do działalności innowacyjnej. Procesy innowacji, etapy, warunki, kompetencje. Innowacyjność przedsiębiorstwa i gospodarki, mierzenie innowacyjności. Struktury organizacyjne dla rozwoju innowacji. Polityka innowacji, instrumentarium, ocena</w:t>
      </w:r>
      <w:r>
        <w:rPr>
          <w:rFonts w:ascii="Calibri" w:eastAsia="Times New Roman" w:hAnsi="Calibri" w:cs="Arial"/>
          <w:lang w:eastAsia="pl-PL"/>
        </w:rPr>
        <w:t xml:space="preserve"> efektów polityki innowacji.</w:t>
      </w:r>
      <w:r>
        <w:rPr>
          <w:rFonts w:ascii="Calibri" w:eastAsia="Times New Roman" w:hAnsi="Calibri" w:cs="Arial"/>
          <w:lang w:eastAsia="pl-PL"/>
        </w:rPr>
        <w:br/>
      </w:r>
      <w:r w:rsidRPr="003823FA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br/>
        <w:t>2. Zarządzanie innowacjami w przedsiębiorstwie</w:t>
      </w:r>
      <w:r w:rsidRPr="001B1625">
        <w:rPr>
          <w:rFonts w:ascii="Calibri" w:eastAsia="Times New Roman" w:hAnsi="Calibri" w:cs="Arial"/>
          <w:lang w:eastAsia="pl-PL"/>
        </w:rPr>
        <w:br/>
        <w:t>Miejsce innowacji w zarządzaniu przedsiębiorstwem. Komórki i proces zarządzania innowacjami w przedsiębiorstwie, kompetencje pracowników i menedżerów w zarządzaniu innowacjami, strategie zarządzania innowacjami, motywowanie w zarządzaniu innowacjami. Problem ochr</w:t>
      </w:r>
      <w:r>
        <w:rPr>
          <w:rFonts w:ascii="Calibri" w:eastAsia="Times New Roman" w:hAnsi="Calibri" w:cs="Arial"/>
          <w:lang w:eastAsia="pl-PL"/>
        </w:rPr>
        <w:t>ony własności intelektualnej.</w:t>
      </w:r>
      <w:r>
        <w:rPr>
          <w:rFonts w:ascii="Calibri" w:eastAsia="Times New Roman" w:hAnsi="Calibri" w:cs="Arial"/>
          <w:lang w:eastAsia="pl-PL"/>
        </w:rPr>
        <w:br/>
      </w:r>
      <w:r>
        <w:rPr>
          <w:rFonts w:ascii="Calibri" w:eastAsia="Times New Roman" w:hAnsi="Calibri" w:cs="Arial"/>
          <w:lang w:eastAsia="pl-PL"/>
        </w:rPr>
        <w:br/>
      </w:r>
      <w:r w:rsidRPr="003823FA">
        <w:rPr>
          <w:rFonts w:ascii="Calibri" w:eastAsia="Times New Roman" w:hAnsi="Calibri" w:cs="Arial"/>
          <w:b/>
          <w:color w:val="000000" w:themeColor="text1"/>
          <w:sz w:val="24"/>
          <w:szCs w:val="24"/>
          <w:u w:val="single"/>
          <w:lang w:eastAsia="pl-PL"/>
        </w:rPr>
        <w:t>3. Finansowanie przedsięwzięć innowacyjnych</w:t>
      </w:r>
      <w:r w:rsidRPr="001B1625">
        <w:rPr>
          <w:rFonts w:ascii="Calibri" w:eastAsia="Times New Roman" w:hAnsi="Calibri" w:cs="Arial"/>
          <w:lang w:eastAsia="pl-PL"/>
        </w:rPr>
        <w:br/>
        <w:t>Źródła finansowania przedsięwzięć innowacyjnych, badanie ryzyka działalności innowacyjnej, problem doboru wsparcia finansowego działalności innowacyjnej; organizacje finansu</w:t>
      </w:r>
      <w:r>
        <w:rPr>
          <w:rFonts w:ascii="Calibri" w:eastAsia="Times New Roman" w:hAnsi="Calibri" w:cs="Arial"/>
          <w:lang w:eastAsia="pl-PL"/>
        </w:rPr>
        <w:t>jące działalność innowacyjną.</w:t>
      </w:r>
      <w:r>
        <w:rPr>
          <w:rFonts w:ascii="Calibri" w:eastAsia="Times New Roman" w:hAnsi="Calibri" w:cs="Arial"/>
          <w:lang w:eastAsia="pl-PL"/>
        </w:rPr>
        <w:br/>
      </w:r>
      <w:r w:rsidRPr="003823FA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br/>
        <w:t>4. Narodowa i regionalne strategie innowacji</w:t>
      </w:r>
      <w:r w:rsidRPr="001B1625">
        <w:rPr>
          <w:rFonts w:ascii="Calibri" w:eastAsia="Times New Roman" w:hAnsi="Calibri" w:cs="Arial"/>
          <w:lang w:eastAsia="pl-PL"/>
        </w:rPr>
        <w:br/>
        <w:t>Innowacyjna strategia rozwoju kraju, tworzenie, realizacja, monitoring, ewaluacja. Regionalne strategie innowacji, idea, koncepcje, proces przygotowania i wdrażania oraz finansowanie RSI. Badanie zaangażowania aktorów społecznych w procesie tworzenia i wd</w:t>
      </w:r>
      <w:r>
        <w:rPr>
          <w:rFonts w:ascii="Calibri" w:eastAsia="Times New Roman" w:hAnsi="Calibri" w:cs="Arial"/>
          <w:lang w:eastAsia="pl-PL"/>
        </w:rPr>
        <w:t>rażania strategii innowacji.</w:t>
      </w:r>
      <w:r>
        <w:rPr>
          <w:rFonts w:ascii="Calibri" w:eastAsia="Times New Roman" w:hAnsi="Calibri" w:cs="Arial"/>
          <w:lang w:eastAsia="pl-PL"/>
        </w:rPr>
        <w:br/>
      </w:r>
      <w:r>
        <w:rPr>
          <w:rFonts w:ascii="Calibri" w:eastAsia="Times New Roman" w:hAnsi="Calibri" w:cs="Arial"/>
          <w:lang w:eastAsia="pl-PL"/>
        </w:rPr>
        <w:br/>
      </w:r>
      <w:r w:rsidRPr="003823FA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5. Foresight w gospodarce, regionie, przedsiębiorstwie</w:t>
      </w:r>
      <w:r w:rsidRPr="001B1625">
        <w:rPr>
          <w:rFonts w:ascii="Calibri" w:eastAsia="Times New Roman" w:hAnsi="Calibri" w:cs="Arial"/>
          <w:lang w:eastAsia="pl-PL"/>
        </w:rPr>
        <w:br/>
        <w:t xml:space="preserve">Metody i techniki badań </w:t>
      </w:r>
      <w:proofErr w:type="spellStart"/>
      <w:r w:rsidRPr="001B1625">
        <w:rPr>
          <w:rFonts w:ascii="Calibri" w:eastAsia="Times New Roman" w:hAnsi="Calibri" w:cs="Arial"/>
          <w:lang w:eastAsia="pl-PL"/>
        </w:rPr>
        <w:t>foresightowych</w:t>
      </w:r>
      <w:proofErr w:type="spellEnd"/>
      <w:r w:rsidRPr="001B1625">
        <w:rPr>
          <w:rFonts w:ascii="Calibri" w:eastAsia="Times New Roman" w:hAnsi="Calibri" w:cs="Arial"/>
          <w:lang w:eastAsia="pl-PL"/>
        </w:rPr>
        <w:t xml:space="preserve"> czyli procesów wyznaczających wizje rozwoju w wyniku społecznej debaty uwzględniającej wiązkę celów społeczno-ekonomicznych umożliwiających równocześnie konkurencyjność podmiotów i gospodarek. Analiza i wykorzystanie doświadczeń światowych w budowaniu własnej koncepcji foresight. Branżowe, regionalne i Narodowe programy fo</w:t>
      </w:r>
      <w:r>
        <w:rPr>
          <w:rFonts w:ascii="Calibri" w:eastAsia="Times New Roman" w:hAnsi="Calibri" w:cs="Arial"/>
          <w:lang w:eastAsia="pl-PL"/>
        </w:rPr>
        <w:t>resight- analiza przypadków.</w:t>
      </w:r>
      <w:r>
        <w:rPr>
          <w:rFonts w:ascii="Calibri" w:eastAsia="Times New Roman" w:hAnsi="Calibri" w:cs="Arial"/>
          <w:lang w:eastAsia="pl-PL"/>
        </w:rPr>
        <w:br/>
      </w:r>
      <w:r>
        <w:rPr>
          <w:rFonts w:ascii="Calibri" w:eastAsia="Times New Roman" w:hAnsi="Calibri" w:cs="Arial"/>
          <w:lang w:eastAsia="pl-PL"/>
        </w:rPr>
        <w:br/>
      </w:r>
      <w:r w:rsidRPr="003823FA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6. Gospodarka wiedzy (GOW)</w:t>
      </w:r>
      <w:r w:rsidRPr="001B1625">
        <w:rPr>
          <w:rFonts w:ascii="Calibri" w:eastAsia="Times New Roman" w:hAnsi="Calibri" w:cs="Arial"/>
          <w:lang w:eastAsia="pl-PL"/>
        </w:rPr>
        <w:br/>
        <w:t>Istota rozwoju gospodarczego w oparciu o paradygmat GOW. Badanie stopnia osiągania wyznaczników GOW w różnych krajach. Paradygmat GOW a polaryzacja w gospodarce światowej. Osiągnięcie statusu gospodarki opartej na wiedzy uważa się za wyznacznik przewagi konkurencyjnej w układzie globalnym. Trendy w osiąganiu GOW jej „filary”, bariery ich rozwoju, warunki budowy GOW,</w:t>
      </w:r>
      <w:r>
        <w:rPr>
          <w:rFonts w:ascii="Calibri" w:eastAsia="Times New Roman" w:hAnsi="Calibri" w:cs="Arial"/>
          <w:lang w:eastAsia="pl-PL"/>
        </w:rPr>
        <w:t xml:space="preserve"> metodyka oceny rozwoju GOW.</w:t>
      </w:r>
      <w:r>
        <w:rPr>
          <w:rFonts w:ascii="Calibri" w:eastAsia="Times New Roman" w:hAnsi="Calibri" w:cs="Arial"/>
          <w:lang w:eastAsia="pl-PL"/>
        </w:rPr>
        <w:br/>
      </w:r>
      <w:r>
        <w:rPr>
          <w:rFonts w:ascii="Calibri" w:eastAsia="Times New Roman" w:hAnsi="Calibri" w:cs="Arial"/>
          <w:lang w:eastAsia="pl-PL"/>
        </w:rPr>
        <w:br/>
      </w:r>
      <w:r>
        <w:rPr>
          <w:rFonts w:ascii="Calibri" w:eastAsia="Times New Roman" w:hAnsi="Calibri" w:cs="Arial"/>
          <w:lang w:eastAsia="pl-PL"/>
        </w:rPr>
        <w:lastRenderedPageBreak/>
        <w:t xml:space="preserve">7. </w:t>
      </w:r>
      <w:r w:rsidRPr="003823FA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Strategia inteligentnych specjalizacji (SSS), metodyka</w:t>
      </w:r>
      <w:r w:rsidRPr="003823FA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Pr="001B1625">
        <w:rPr>
          <w:rFonts w:ascii="Calibri" w:eastAsia="Times New Roman" w:hAnsi="Calibri" w:cs="Arial"/>
          <w:lang w:eastAsia="pl-PL"/>
        </w:rPr>
        <w:t xml:space="preserve">Aktualnie najważniejsza metodyka wyznaczania priorytetów wspierania finansowego w ramach owej perspektywy finansowej UE. Przykłady wyznaczania takich priorytetów w regionach i gospodarce narodowej. Badanie zależności pomiędzy SSS a zmianami </w:t>
      </w:r>
      <w:r>
        <w:rPr>
          <w:rFonts w:ascii="Calibri" w:eastAsia="Times New Roman" w:hAnsi="Calibri" w:cs="Arial"/>
          <w:lang w:eastAsia="pl-PL"/>
        </w:rPr>
        <w:t>strukturalnymi w gospodarce.</w:t>
      </w:r>
      <w:r>
        <w:rPr>
          <w:rFonts w:ascii="Calibri" w:eastAsia="Times New Roman" w:hAnsi="Calibri" w:cs="Arial"/>
          <w:lang w:eastAsia="pl-PL"/>
        </w:rPr>
        <w:br/>
      </w:r>
      <w:r>
        <w:rPr>
          <w:rFonts w:ascii="Calibri" w:eastAsia="Times New Roman" w:hAnsi="Calibri" w:cs="Arial"/>
          <w:lang w:eastAsia="pl-PL"/>
        </w:rPr>
        <w:br/>
        <w:t xml:space="preserve">8. </w:t>
      </w:r>
      <w:proofErr w:type="spellStart"/>
      <w:r w:rsidRPr="003823FA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Innovative</w:t>
      </w:r>
      <w:proofErr w:type="spellEnd"/>
      <w:r w:rsidRPr="003823FA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</w:t>
      </w:r>
      <w:proofErr w:type="spellStart"/>
      <w:r w:rsidRPr="003823FA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Gender</w:t>
      </w:r>
      <w:proofErr w:type="spellEnd"/>
      <w:r>
        <w:rPr>
          <w:rFonts w:ascii="Calibri" w:eastAsia="Times New Roman" w:hAnsi="Calibri" w:cs="Arial"/>
          <w:lang w:eastAsia="pl-PL"/>
        </w:rPr>
        <w:t xml:space="preserve"> </w:t>
      </w:r>
      <w:r>
        <w:rPr>
          <w:rFonts w:ascii="Calibri" w:eastAsia="Times New Roman" w:hAnsi="Calibri" w:cs="Arial"/>
          <w:lang w:eastAsia="pl-PL"/>
        </w:rPr>
        <w:br/>
        <w:t>-</w:t>
      </w:r>
      <w:r w:rsidRPr="001B1625">
        <w:rPr>
          <w:rFonts w:ascii="Calibri" w:eastAsia="Times New Roman" w:hAnsi="Calibri" w:cs="Arial"/>
          <w:lang w:eastAsia="pl-PL"/>
        </w:rPr>
        <w:t>włączenie w projekt badawczy Katedry Ekonomii i Innowacji studentów, prowadzenie badań w zakresie wyznaczaniu ról, wkładu i efektu kobiet i mężczyzn w procesie rozwoju innowacji; instytucjonalne uwarunkowania (bariery i motywacja) znaczenia płci w rozwoju innowacji.</w:t>
      </w:r>
      <w:r>
        <w:rPr>
          <w:rFonts w:ascii="Calibri" w:eastAsia="Times New Roman" w:hAnsi="Calibri" w:cs="Arial"/>
          <w:lang w:eastAsia="pl-PL"/>
        </w:rPr>
        <w:br/>
      </w:r>
    </w:p>
    <w:p w:rsidR="00927D2E" w:rsidRDefault="00927D2E" w:rsidP="00927D2E">
      <w:pPr>
        <w:shd w:val="clear" w:color="auto" w:fill="FFFFFF"/>
        <w:spacing w:after="0" w:line="240" w:lineRule="auto"/>
        <w:textAlignment w:val="top"/>
        <w:rPr>
          <w:rFonts w:ascii="Calibri" w:hAnsi="Calibri"/>
          <w:b/>
          <w:color w:val="000000" w:themeColor="text1"/>
          <w:u w:val="single"/>
        </w:rPr>
      </w:pPr>
      <w:r>
        <w:rPr>
          <w:rFonts w:ascii="Calibri" w:eastAsia="Times New Roman" w:hAnsi="Calibri" w:cs="Arial"/>
          <w:color w:val="000000" w:themeColor="text1"/>
          <w:lang w:eastAsia="pl-PL"/>
        </w:rPr>
        <w:t xml:space="preserve">9. </w:t>
      </w:r>
      <w:r w:rsidRPr="00625174">
        <w:rPr>
          <w:rFonts w:ascii="Calibri" w:hAnsi="Calibri"/>
          <w:b/>
          <w:color w:val="000000" w:themeColor="text1"/>
          <w:u w:val="single"/>
        </w:rPr>
        <w:t>Polityka innowacji w UE</w:t>
      </w:r>
    </w:p>
    <w:p w:rsidR="00233544" w:rsidRDefault="00927D2E" w:rsidP="00233544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color w:val="000000" w:themeColor="text1"/>
          <w:lang w:eastAsia="pl-PL"/>
        </w:rPr>
      </w:pPr>
      <w:r>
        <w:rPr>
          <w:rFonts w:ascii="Calibri" w:hAnsi="Calibri"/>
          <w:color w:val="000000" w:themeColor="text1"/>
        </w:rPr>
        <w:t>Miejsce polityki innowacji w ekonomiczno-społecznej polityce UE jako całości oraz państw członkowskich UE, powiązania polityki innowacji z polityka regionalną, naukową, technologiczną i przemysłową. Instrumenty i mechanizmy polityki innowacji, modele polityki innowacji w UE. Mierzenie skuteczności polityki innowacji w kształtowaniu narodowych i regionalnych systemów innowacji i efektywności działalności innowacyjnej w UE.</w:t>
      </w:r>
      <w:r w:rsidRPr="004707AF">
        <w:rPr>
          <w:rFonts w:ascii="Calibri" w:eastAsia="Times New Roman" w:hAnsi="Calibri" w:cs="Arial"/>
          <w:color w:val="000000" w:themeColor="text1"/>
          <w:lang w:eastAsia="pl-PL"/>
        </w:rPr>
        <w:br/>
      </w:r>
    </w:p>
    <w:p w:rsidR="00233544" w:rsidRDefault="00233544" w:rsidP="00233544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Arial"/>
          <w:color w:val="000000" w:themeColor="text1"/>
          <w:lang w:eastAsia="pl-PL"/>
        </w:rPr>
      </w:pPr>
    </w:p>
    <w:p w:rsidR="009441E0" w:rsidRDefault="009441E0" w:rsidP="00233544">
      <w:pPr>
        <w:shd w:val="clear" w:color="auto" w:fill="FFFFFF"/>
        <w:spacing w:after="0" w:line="240" w:lineRule="auto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F51871" w:rsidRDefault="00BD70B0" w:rsidP="00F51871">
      <w:pPr>
        <w:rPr>
          <w:rFonts w:cs="Arial"/>
          <w:lang w:eastAsia="pl-PL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p</w:t>
      </w:r>
      <w:r w:rsidR="00A40630">
        <w:rPr>
          <w:rFonts w:ascii="Calibri,Bold" w:hAnsi="Calibri,Bold" w:cs="Calibri,Bold"/>
          <w:b/>
          <w:bCs/>
          <w:sz w:val="28"/>
          <w:szCs w:val="28"/>
          <w:u w:val="single"/>
        </w:rPr>
        <w:t>rof. dr hab. ANNA ZĄBKOWICZ</w:t>
      </w:r>
      <w:r w:rsidR="008603E5">
        <w:rPr>
          <w:rFonts w:ascii="Calibri" w:eastAsia="Times New Roman" w:hAnsi="Calibri" w:cs="Arial"/>
          <w:lang w:eastAsia="pl-PL"/>
        </w:rPr>
        <w:br/>
      </w:r>
      <w:r w:rsidR="008603E5">
        <w:rPr>
          <w:rFonts w:ascii="Calibri" w:eastAsia="Times New Roman" w:hAnsi="Calibri" w:cs="Arial"/>
          <w:lang w:eastAsia="pl-PL"/>
        </w:rPr>
        <w:br/>
      </w:r>
      <w:r w:rsidR="00F51871" w:rsidRPr="001B1625">
        <w:rPr>
          <w:rFonts w:cs="Arial"/>
          <w:lang w:eastAsia="pl-PL"/>
        </w:rPr>
        <w:t xml:space="preserve">INSTYTUCJONALNE RAMY </w:t>
      </w:r>
      <w:r w:rsidR="00F51871">
        <w:rPr>
          <w:rFonts w:cs="Arial"/>
          <w:lang w:eastAsia="pl-PL"/>
        </w:rPr>
        <w:t>I MIĘDZYNARODOWE OTOCZENIE</w:t>
      </w:r>
      <w:r w:rsidR="00F51871" w:rsidRPr="001B1625">
        <w:rPr>
          <w:rFonts w:cs="Arial"/>
          <w:lang w:eastAsia="pl-PL"/>
        </w:rPr>
        <w:t xml:space="preserve"> JAKO OGRANICZENIA POLITYKI GOSPODARCZEJ</w:t>
      </w:r>
      <w:r w:rsidR="00F51871" w:rsidRPr="001B1625">
        <w:rPr>
          <w:rFonts w:cs="Arial"/>
          <w:lang w:eastAsia="pl-PL"/>
        </w:rPr>
        <w:br/>
      </w:r>
      <w:r w:rsidR="00F51871" w:rsidRPr="001B1625">
        <w:rPr>
          <w:rFonts w:cs="Arial"/>
          <w:lang w:eastAsia="pl-PL"/>
        </w:rPr>
        <w:br/>
        <w:t>Seminarium dyplomowe dla studentów kierunku Ekonomia odwołuje się do przedmiotów objętych programem studiów, takich jak makroekonomia, bankowość, międzynarodowe stosunki gospodarcze i finansowe, polityka gospodarcza i regionalna, polityka społeczna, integracja europejska, finanse publiczne i in. Tematyka seminarium i zakres ewentualnych prac dyplomowych obejmuje:</w:t>
      </w:r>
    </w:p>
    <w:p w:rsidR="00F51871" w:rsidRDefault="00F51871" w:rsidP="00F51871">
      <w:pPr>
        <w:rPr>
          <w:rFonts w:cs="Arial"/>
          <w:lang w:eastAsia="pl-PL"/>
        </w:rPr>
      </w:pPr>
    </w:p>
    <w:p w:rsidR="00F51871" w:rsidRPr="004E5874" w:rsidRDefault="00F51871" w:rsidP="00F51871">
      <w:pPr>
        <w:rPr>
          <w:rFonts w:cs="Arial"/>
          <w:b/>
          <w:bCs/>
          <w:lang w:eastAsia="pl-PL"/>
        </w:rPr>
      </w:pPr>
      <w:r w:rsidRPr="001B1625">
        <w:rPr>
          <w:rFonts w:cs="Arial"/>
          <w:b/>
          <w:bCs/>
          <w:lang w:eastAsia="pl-PL"/>
        </w:rPr>
        <w:t>Segment I.</w:t>
      </w:r>
      <w:r w:rsidRPr="001B1625">
        <w:rPr>
          <w:rFonts w:cs="Arial"/>
          <w:lang w:eastAsia="pl-PL"/>
        </w:rPr>
        <w:t xml:space="preserve"> Międzynarodowa integra</w:t>
      </w:r>
      <w:r>
        <w:rPr>
          <w:rFonts w:cs="Arial"/>
          <w:lang w:eastAsia="pl-PL"/>
        </w:rPr>
        <w:t>cja rynków finans</w:t>
      </w:r>
      <w:r w:rsidRPr="001B1625">
        <w:rPr>
          <w:rFonts w:cs="Arial"/>
          <w:lang w:eastAsia="pl-PL"/>
        </w:rPr>
        <w:t>owych jako zewnętrzne ograniczenie dla polityki gospodarczej.</w:t>
      </w:r>
      <w:r w:rsidRPr="001B1625">
        <w:rPr>
          <w:rFonts w:cs="Arial"/>
          <w:lang w:eastAsia="pl-PL"/>
        </w:rPr>
        <w:br/>
        <w:t>Przykłady tematów prac:</w:t>
      </w:r>
      <w:r w:rsidRPr="001B1625">
        <w:rPr>
          <w:rFonts w:cs="Arial"/>
          <w:lang w:eastAsia="pl-PL"/>
        </w:rPr>
        <w:br/>
        <w:t>•    Rola ponadnarodowych korporacji w gospodarce narodowej</w:t>
      </w:r>
      <w:r w:rsidRPr="001B1625">
        <w:rPr>
          <w:rFonts w:cs="Arial"/>
          <w:lang w:eastAsia="pl-PL"/>
        </w:rPr>
        <w:br/>
        <w:t xml:space="preserve">•     </w:t>
      </w:r>
      <w:r>
        <w:t xml:space="preserve">Współczesna </w:t>
      </w:r>
      <w:proofErr w:type="spellStart"/>
      <w:r>
        <w:t>finansjeryzacja</w:t>
      </w:r>
      <w:proofErr w:type="spellEnd"/>
      <w:r>
        <w:t xml:space="preserve"> i tradycyjna wizja roli rynków finansowych w gospodarce.</w:t>
      </w:r>
      <w:r w:rsidRPr="001B1625">
        <w:rPr>
          <w:rFonts w:cs="Arial"/>
          <w:lang w:eastAsia="pl-PL"/>
        </w:rPr>
        <w:br/>
        <w:t xml:space="preserve">•    Znaczenie eurorynków (eurowalutowych, </w:t>
      </w:r>
      <w:proofErr w:type="spellStart"/>
      <w:r w:rsidRPr="001B1625">
        <w:rPr>
          <w:rFonts w:cs="Arial"/>
          <w:lang w:eastAsia="pl-PL"/>
        </w:rPr>
        <w:t>euroakcji</w:t>
      </w:r>
      <w:proofErr w:type="spellEnd"/>
      <w:r w:rsidRPr="001B1625">
        <w:rPr>
          <w:rFonts w:cs="Arial"/>
          <w:lang w:eastAsia="pl-PL"/>
        </w:rPr>
        <w:t>, euroobligacji) w polityce zadłużenia zagranicznego</w:t>
      </w:r>
      <w:r w:rsidRPr="001B1625">
        <w:rPr>
          <w:rFonts w:cs="Arial"/>
          <w:lang w:eastAsia="pl-PL"/>
        </w:rPr>
        <w:br/>
        <w:t>•    Kryzysy walutowe i finansowe: mechanizm, skutki, zapobieganie.</w:t>
      </w:r>
      <w:r>
        <w:rPr>
          <w:rFonts w:cs="Arial"/>
          <w:lang w:eastAsia="pl-PL"/>
        </w:rPr>
        <w:br/>
      </w:r>
      <w:r w:rsidRPr="001B1625">
        <w:rPr>
          <w:rFonts w:cs="Arial"/>
          <w:lang w:eastAsia="pl-PL"/>
        </w:rPr>
        <w:t>•    Społeczne dylematy ery globalizacji</w:t>
      </w:r>
    </w:p>
    <w:p w:rsidR="00F51871" w:rsidRDefault="00F51871" w:rsidP="00F51871">
      <w:pPr>
        <w:rPr>
          <w:rFonts w:cs="Arial"/>
          <w:b/>
          <w:bCs/>
          <w:lang w:eastAsia="pl-PL"/>
        </w:rPr>
      </w:pPr>
      <w:r>
        <w:rPr>
          <w:rFonts w:cs="Arial"/>
          <w:lang w:eastAsia="pl-PL"/>
        </w:rPr>
        <w:br/>
      </w:r>
      <w:r w:rsidRPr="001B1625">
        <w:rPr>
          <w:rFonts w:cs="Arial"/>
          <w:b/>
          <w:bCs/>
          <w:lang w:eastAsia="pl-PL"/>
        </w:rPr>
        <w:t>Segment II.</w:t>
      </w:r>
      <w:r w:rsidRPr="001B1625">
        <w:rPr>
          <w:rFonts w:cs="Arial"/>
          <w:lang w:eastAsia="pl-PL"/>
        </w:rPr>
        <w:t xml:space="preserve"> Instytucje międzyrządowe</w:t>
      </w:r>
      <w:r>
        <w:rPr>
          <w:rFonts w:cs="Arial"/>
          <w:lang w:eastAsia="pl-PL"/>
        </w:rPr>
        <w:t xml:space="preserve"> i polityka gospodarcza</w:t>
      </w:r>
      <w:r w:rsidRPr="001B1625">
        <w:rPr>
          <w:rFonts w:cs="Arial"/>
          <w:lang w:eastAsia="pl-PL"/>
        </w:rPr>
        <w:br/>
        <w:t>Przykłady tematów prac:</w:t>
      </w:r>
      <w:r w:rsidRPr="001B1625">
        <w:rPr>
          <w:rFonts w:cs="Arial"/>
          <w:lang w:eastAsia="pl-PL"/>
        </w:rPr>
        <w:br/>
        <w:t>•    Rola Banku Światowego i międzynarodowych banków rozwoju we wzroście gospodarczym wyłaniających się gospodarek rynkowych (</w:t>
      </w:r>
      <w:proofErr w:type="spellStart"/>
      <w:r w:rsidRPr="001B1625">
        <w:rPr>
          <w:rFonts w:cs="Arial"/>
          <w:lang w:eastAsia="pl-PL"/>
        </w:rPr>
        <w:t>emerging</w:t>
      </w:r>
      <w:proofErr w:type="spellEnd"/>
      <w:r w:rsidRPr="001B1625">
        <w:rPr>
          <w:rFonts w:cs="Arial"/>
          <w:lang w:eastAsia="pl-PL"/>
        </w:rPr>
        <w:t xml:space="preserve"> </w:t>
      </w:r>
      <w:proofErr w:type="spellStart"/>
      <w:r w:rsidRPr="001B1625">
        <w:rPr>
          <w:rFonts w:cs="Arial"/>
          <w:lang w:eastAsia="pl-PL"/>
        </w:rPr>
        <w:t>markets</w:t>
      </w:r>
      <w:proofErr w:type="spellEnd"/>
      <w:r w:rsidRPr="001B1625">
        <w:rPr>
          <w:rFonts w:cs="Arial"/>
          <w:lang w:eastAsia="pl-PL"/>
        </w:rPr>
        <w:t>)</w:t>
      </w:r>
      <w:r w:rsidRPr="001B1625">
        <w:rPr>
          <w:rFonts w:cs="Arial"/>
          <w:lang w:eastAsia="pl-PL"/>
        </w:rPr>
        <w:br/>
        <w:t>•    Polityka OPEC i światowy rynek ropy naftowej</w:t>
      </w:r>
      <w:r w:rsidRPr="001B1625">
        <w:rPr>
          <w:rFonts w:cs="Arial"/>
          <w:lang w:eastAsia="pl-PL"/>
        </w:rPr>
        <w:br/>
        <w:t>•    Strefy wolnego handlu, rozwój wymiany towarowej, wzrost gospodarki</w:t>
      </w:r>
      <w:r w:rsidRPr="001B1625">
        <w:rPr>
          <w:rFonts w:cs="Arial"/>
          <w:lang w:eastAsia="pl-PL"/>
        </w:rPr>
        <w:br/>
        <w:t>•    Międzynarodowy kredyt i polityka zadłużenia zagranicznego</w:t>
      </w:r>
      <w:r w:rsidRPr="001B1625">
        <w:rPr>
          <w:rFonts w:cs="Arial"/>
          <w:lang w:eastAsia="pl-PL"/>
        </w:rPr>
        <w:br/>
        <w:t>•    Polityka promowania wzrostu (polityka strukturalna,</w:t>
      </w:r>
      <w:r>
        <w:rPr>
          <w:rFonts w:cs="Arial"/>
          <w:lang w:eastAsia="pl-PL"/>
        </w:rPr>
        <w:t xml:space="preserve"> polityka konkurencji) </w:t>
      </w:r>
      <w:r w:rsidRPr="001B1625">
        <w:rPr>
          <w:rFonts w:cs="Arial"/>
          <w:lang w:eastAsia="pl-PL"/>
        </w:rPr>
        <w:t>w ramach Unii Europejskiej.</w:t>
      </w:r>
      <w:r w:rsidRPr="001B1625">
        <w:rPr>
          <w:rFonts w:cs="Arial"/>
          <w:lang w:eastAsia="pl-PL"/>
        </w:rPr>
        <w:br/>
        <w:t xml:space="preserve">•    Wspólna polityka monetarna </w:t>
      </w:r>
      <w:r>
        <w:rPr>
          <w:rFonts w:cs="Arial"/>
          <w:lang w:eastAsia="pl-PL"/>
        </w:rPr>
        <w:t xml:space="preserve">UE </w:t>
      </w:r>
      <w:r w:rsidRPr="001B1625">
        <w:rPr>
          <w:rFonts w:cs="Arial"/>
          <w:lang w:eastAsia="pl-PL"/>
        </w:rPr>
        <w:t>(pozycja Europejskiego Banku Centralnego, Euroland, ERM II)</w:t>
      </w:r>
      <w:r w:rsidRPr="001B1625">
        <w:rPr>
          <w:rFonts w:cs="Arial"/>
          <w:lang w:eastAsia="pl-PL"/>
        </w:rPr>
        <w:br/>
        <w:t>•    „Socjalna Europa” – koordynacja polityki zatrudnienia i polityki społecznej</w:t>
      </w:r>
      <w:r>
        <w:rPr>
          <w:rFonts w:cs="Arial"/>
          <w:lang w:eastAsia="pl-PL"/>
        </w:rPr>
        <w:t xml:space="preserve"> </w:t>
      </w:r>
      <w:r w:rsidRPr="001B1625">
        <w:rPr>
          <w:rFonts w:cs="Arial"/>
          <w:lang w:eastAsia="pl-PL"/>
        </w:rPr>
        <w:t>w ramach Unii Europejskiej.</w:t>
      </w:r>
      <w:r w:rsidRPr="001B1625">
        <w:rPr>
          <w:rFonts w:cs="Arial"/>
          <w:lang w:eastAsia="pl-PL"/>
        </w:rPr>
        <w:br/>
      </w:r>
      <w:r w:rsidRPr="001B1625">
        <w:rPr>
          <w:rFonts w:cs="Arial"/>
          <w:lang w:eastAsia="pl-PL"/>
        </w:rPr>
        <w:br/>
      </w:r>
    </w:p>
    <w:p w:rsidR="00F51871" w:rsidRDefault="00F51871" w:rsidP="00F51871">
      <w:pPr>
        <w:rPr>
          <w:rFonts w:cs="Arial"/>
          <w:b/>
          <w:bCs/>
          <w:lang w:eastAsia="pl-PL"/>
        </w:rPr>
      </w:pPr>
      <w:r>
        <w:rPr>
          <w:rFonts w:cs="Arial"/>
          <w:b/>
          <w:bCs/>
          <w:lang w:eastAsia="pl-PL"/>
        </w:rPr>
        <w:lastRenderedPageBreak/>
        <w:t>Segment III</w:t>
      </w:r>
      <w:r w:rsidRPr="001B1625">
        <w:rPr>
          <w:rFonts w:cs="Arial"/>
          <w:b/>
          <w:bCs/>
          <w:lang w:eastAsia="pl-PL"/>
        </w:rPr>
        <w:t>.</w:t>
      </w:r>
      <w:r>
        <w:rPr>
          <w:rFonts w:cs="Arial"/>
          <w:b/>
          <w:bCs/>
          <w:lang w:eastAsia="pl-PL"/>
        </w:rPr>
        <w:t xml:space="preserve"> </w:t>
      </w:r>
      <w:r w:rsidRPr="004E5874">
        <w:rPr>
          <w:rFonts w:cs="Arial"/>
          <w:bCs/>
          <w:lang w:eastAsia="pl-PL"/>
        </w:rPr>
        <w:t>Ekonomia instytucjonalna</w:t>
      </w:r>
    </w:p>
    <w:p w:rsidR="00F51871" w:rsidRPr="004E5874" w:rsidRDefault="00F51871" w:rsidP="00F51871">
      <w:pPr>
        <w:numPr>
          <w:ilvl w:val="0"/>
          <w:numId w:val="39"/>
        </w:numPr>
        <w:spacing w:after="0" w:line="240" w:lineRule="auto"/>
        <w:ind w:left="0" w:firstLine="0"/>
        <w:rPr>
          <w:rFonts w:cs="Arial"/>
          <w:b/>
          <w:bCs/>
          <w:lang w:eastAsia="pl-PL"/>
        </w:rPr>
      </w:pPr>
      <w:r>
        <w:t>Instytucje państwa w Polsce międzywojennej (kanały dostępu do rządu i parlamentu, sądownictwo i prawo, system partyjny, aparat skarbowy i in.): budowanie od podstaw i rozwój</w:t>
      </w:r>
    </w:p>
    <w:p w:rsidR="00F51871" w:rsidRPr="004E5874" w:rsidRDefault="00F51871" w:rsidP="00F51871">
      <w:pPr>
        <w:numPr>
          <w:ilvl w:val="0"/>
          <w:numId w:val="39"/>
        </w:numPr>
        <w:spacing w:after="0" w:line="240" w:lineRule="auto"/>
        <w:ind w:left="0" w:firstLine="0"/>
        <w:rPr>
          <w:rFonts w:cs="Arial"/>
          <w:b/>
          <w:bCs/>
          <w:lang w:eastAsia="pl-PL"/>
        </w:rPr>
      </w:pPr>
      <w:r>
        <w:t>O wzajemnym warunkowaniu się gospodarki i polityki</w:t>
      </w:r>
      <w:r w:rsidRPr="004E5874">
        <w:t xml:space="preserve"> </w:t>
      </w:r>
      <w:r>
        <w:t xml:space="preserve">na przykładach międzynarodowych. </w:t>
      </w:r>
    </w:p>
    <w:p w:rsidR="00F51871" w:rsidRPr="004E5874" w:rsidRDefault="00F51871" w:rsidP="00F51871">
      <w:pPr>
        <w:numPr>
          <w:ilvl w:val="0"/>
          <w:numId w:val="39"/>
        </w:numPr>
        <w:spacing w:after="0" w:line="240" w:lineRule="auto"/>
        <w:ind w:left="0" w:firstLine="0"/>
        <w:rPr>
          <w:rFonts w:cs="Arial"/>
          <w:b/>
          <w:bCs/>
          <w:lang w:eastAsia="pl-PL"/>
        </w:rPr>
      </w:pPr>
      <w:r>
        <w:t xml:space="preserve">Gospodarcze znaczenie asymetrii informacji: na przykładzie </w:t>
      </w:r>
      <w:proofErr w:type="spellStart"/>
      <w:r>
        <w:t>Akerloffa</w:t>
      </w:r>
      <w:proofErr w:type="spellEnd"/>
      <w:r>
        <w:t xml:space="preserve"> (</w:t>
      </w:r>
      <w:proofErr w:type="spellStart"/>
      <w:r>
        <w:t>lemons</w:t>
      </w:r>
      <w:proofErr w:type="spellEnd"/>
      <w:r>
        <w:t>) i na innych przykładach</w:t>
      </w:r>
    </w:p>
    <w:p w:rsidR="00F51871" w:rsidRPr="004E5874" w:rsidRDefault="00F51871" w:rsidP="00F51871">
      <w:pPr>
        <w:numPr>
          <w:ilvl w:val="0"/>
          <w:numId w:val="39"/>
        </w:numPr>
        <w:spacing w:after="0" w:line="240" w:lineRule="auto"/>
        <w:ind w:left="0" w:firstLine="0"/>
        <w:rPr>
          <w:rFonts w:cs="Arial"/>
          <w:b/>
          <w:bCs/>
          <w:lang w:eastAsia="pl-PL"/>
        </w:rPr>
      </w:pPr>
      <w:r>
        <w:t>Instytucjonalne bariery wzrostu, inwestycji, handlu zagranicznego, konkurencyjności.</w:t>
      </w:r>
    </w:p>
    <w:p w:rsidR="00F51871" w:rsidRDefault="00F51871" w:rsidP="00F51871">
      <w:pPr>
        <w:rPr>
          <w:rFonts w:cs="Arial"/>
          <w:lang w:eastAsia="pl-PL"/>
        </w:rPr>
      </w:pPr>
      <w:r>
        <w:rPr>
          <w:rFonts w:cs="Arial"/>
          <w:lang w:eastAsia="pl-PL"/>
        </w:rPr>
        <w:t>•    Nowe zasady</w:t>
      </w:r>
      <w:r w:rsidRPr="001B1625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stabilizacji makroekonomicznej (</w:t>
      </w:r>
      <w:r w:rsidRPr="001B1625">
        <w:rPr>
          <w:rFonts w:cs="Arial"/>
          <w:lang w:eastAsia="pl-PL"/>
        </w:rPr>
        <w:t>reguła monetarna, reguła budżetowa</w:t>
      </w:r>
      <w:r>
        <w:rPr>
          <w:rFonts w:cs="Arial"/>
          <w:lang w:eastAsia="pl-PL"/>
        </w:rPr>
        <w:t>, niezależność banku centralnego)</w:t>
      </w:r>
      <w:r>
        <w:rPr>
          <w:rFonts w:cs="Arial"/>
          <w:lang w:eastAsia="pl-PL"/>
        </w:rPr>
        <w:br/>
      </w:r>
      <w:r w:rsidRPr="004E5874">
        <w:rPr>
          <w:rFonts w:cs="Arial"/>
          <w:color w:val="008080"/>
          <w:lang w:eastAsia="pl-PL"/>
        </w:rPr>
        <w:br/>
      </w:r>
      <w:r w:rsidRPr="001B1625">
        <w:rPr>
          <w:rFonts w:cs="Arial"/>
          <w:b/>
          <w:bCs/>
          <w:lang w:eastAsia="pl-PL"/>
        </w:rPr>
        <w:t xml:space="preserve">Segment IV. </w:t>
      </w:r>
      <w:r w:rsidRPr="001B1625">
        <w:rPr>
          <w:rFonts w:cs="Arial"/>
          <w:lang w:eastAsia="pl-PL"/>
        </w:rPr>
        <w:t>Polityka gospodarcza po rewolucji informatycznej.</w:t>
      </w:r>
      <w:r w:rsidRPr="001B1625">
        <w:rPr>
          <w:rFonts w:cs="Arial"/>
          <w:lang w:eastAsia="pl-PL"/>
        </w:rPr>
        <w:br/>
        <w:t>Przykłady tematów prac:</w:t>
      </w:r>
      <w:r w:rsidRPr="001B1625">
        <w:rPr>
          <w:rFonts w:cs="Arial"/>
          <w:lang w:eastAsia="pl-PL"/>
        </w:rPr>
        <w:br/>
        <w:t>•    Internet a kontrola nad polityką i gospodarką</w:t>
      </w:r>
      <w:r w:rsidRPr="001B1625">
        <w:rPr>
          <w:rFonts w:cs="Arial"/>
          <w:lang w:eastAsia="pl-PL"/>
        </w:rPr>
        <w:br/>
        <w:t>•    Rozwój transakcji elektron</w:t>
      </w:r>
      <w:r>
        <w:rPr>
          <w:rFonts w:cs="Arial"/>
          <w:lang w:eastAsia="pl-PL"/>
        </w:rPr>
        <w:t>icznych i ich rola w gospodarce</w:t>
      </w:r>
      <w:r>
        <w:rPr>
          <w:rFonts w:cs="Arial"/>
          <w:b/>
          <w:bCs/>
          <w:lang w:eastAsia="pl-PL"/>
        </w:rPr>
        <w:t xml:space="preserve"> </w:t>
      </w:r>
      <w:r>
        <w:rPr>
          <w:rFonts w:cs="Arial"/>
          <w:b/>
          <w:bCs/>
          <w:lang w:eastAsia="pl-PL"/>
        </w:rPr>
        <w:br/>
      </w:r>
      <w:r w:rsidRPr="001B1625">
        <w:rPr>
          <w:rFonts w:cs="Arial"/>
          <w:b/>
          <w:bCs/>
          <w:lang w:eastAsia="pl-PL"/>
        </w:rPr>
        <w:br/>
        <w:t>Segment V.</w:t>
      </w:r>
      <w:r w:rsidRPr="001B1625">
        <w:rPr>
          <w:rFonts w:cs="Arial"/>
          <w:lang w:eastAsia="pl-PL"/>
        </w:rPr>
        <w:t xml:space="preserve"> Systemy ekonomiczne i reformy gosp</w:t>
      </w:r>
      <w:r>
        <w:rPr>
          <w:rFonts w:cs="Arial"/>
          <w:lang w:eastAsia="pl-PL"/>
        </w:rPr>
        <w:t>odarcze</w:t>
      </w:r>
      <w:r>
        <w:rPr>
          <w:rFonts w:cs="Arial"/>
          <w:lang w:eastAsia="pl-PL"/>
        </w:rPr>
        <w:br/>
        <w:t>Przykłady tematów prac:</w:t>
      </w:r>
      <w:r w:rsidRPr="001B1625">
        <w:rPr>
          <w:rFonts w:cs="Arial"/>
          <w:lang w:eastAsia="pl-PL"/>
        </w:rPr>
        <w:br/>
        <w:t>•    Socjalne obciążenie gospodarki i koncepcje reform: emerytalnych, opieki zdrowotnej, edukacji</w:t>
      </w:r>
      <w:r w:rsidRPr="001B1625">
        <w:rPr>
          <w:rFonts w:cs="Arial"/>
          <w:lang w:eastAsia="pl-PL"/>
        </w:rPr>
        <w:br/>
        <w:t>•    Polityka zatrudnienia i rynek pracy</w:t>
      </w:r>
      <w:r w:rsidRPr="001B1625">
        <w:rPr>
          <w:rFonts w:cs="Arial"/>
          <w:lang w:eastAsia="pl-PL"/>
        </w:rPr>
        <w:br/>
        <w:t>•    Różne formy prywatyzacji (np. kapitałowa, kuponowa) i ich efektywność</w:t>
      </w:r>
      <w:r w:rsidRPr="001B1625">
        <w:rPr>
          <w:rFonts w:cs="Arial"/>
          <w:lang w:eastAsia="pl-PL"/>
        </w:rPr>
        <w:br/>
        <w:t>•    Korzyści i koszty decentralizacji</w:t>
      </w:r>
    </w:p>
    <w:p w:rsidR="00F51871" w:rsidRPr="004E5874" w:rsidRDefault="00F51871" w:rsidP="00F51871">
      <w:pPr>
        <w:numPr>
          <w:ilvl w:val="0"/>
          <w:numId w:val="40"/>
        </w:numPr>
        <w:spacing w:after="0" w:line="240" w:lineRule="auto"/>
        <w:ind w:left="0" w:firstLine="0"/>
        <w:rPr>
          <w:rFonts w:cs="Arial"/>
          <w:lang w:eastAsia="pl-PL"/>
        </w:rPr>
      </w:pPr>
      <w:r>
        <w:rPr>
          <w:rFonts w:cs="Arial"/>
          <w:lang w:eastAsia="pl-PL"/>
        </w:rPr>
        <w:t>Systemy podatkowe, optymalizacja podatkowa, uchylanie się od podatków</w:t>
      </w:r>
      <w:r w:rsidRPr="001B1625">
        <w:rPr>
          <w:rFonts w:cs="Arial"/>
          <w:lang w:eastAsia="pl-PL"/>
        </w:rPr>
        <w:br/>
      </w:r>
      <w:r w:rsidRPr="001B1625">
        <w:rPr>
          <w:rFonts w:cs="Arial"/>
          <w:lang w:eastAsia="pl-PL"/>
        </w:rPr>
        <w:br/>
      </w:r>
      <w:r w:rsidRPr="001B1625">
        <w:rPr>
          <w:rFonts w:cs="Arial"/>
          <w:b/>
          <w:bCs/>
          <w:lang w:eastAsia="pl-PL"/>
        </w:rPr>
        <w:t>Segment VI.</w:t>
      </w:r>
      <w:r w:rsidRPr="001B1625">
        <w:rPr>
          <w:rFonts w:cs="Arial"/>
          <w:lang w:eastAsia="pl-PL"/>
        </w:rPr>
        <w:t xml:space="preserve"> </w:t>
      </w:r>
      <w:r>
        <w:rPr>
          <w:rFonts w:cs="Arial"/>
          <w:lang w:eastAsia="pl-PL"/>
        </w:rPr>
        <w:t>Konkurencyjne gospodarki Wschodniego Wybrzeża Pacyfiku</w:t>
      </w:r>
      <w:r w:rsidRPr="001B1625">
        <w:rPr>
          <w:rFonts w:cs="Arial"/>
          <w:lang w:eastAsia="pl-PL"/>
        </w:rPr>
        <w:br/>
        <w:t>•    Przyczyny powojennego awansu gospodarczego Japonii. Czy w Polsce możemy zbudować „drugą Japonię”?</w:t>
      </w:r>
      <w:r w:rsidRPr="001B1625">
        <w:rPr>
          <w:rFonts w:cs="Arial"/>
          <w:lang w:eastAsia="pl-PL"/>
        </w:rPr>
        <w:br/>
        <w:t>•    Model anglo-amerykański i jego absorpcja we współczesnej Japonii</w:t>
      </w:r>
      <w:r w:rsidRPr="001B1625">
        <w:rPr>
          <w:rFonts w:cs="Arial"/>
          <w:lang w:eastAsia="pl-PL"/>
        </w:rPr>
        <w:br/>
        <w:t xml:space="preserve">•    Przyczyny międzynarodowej kariery banków japońskich w latach 80. i ich pozycja </w:t>
      </w:r>
      <w:r w:rsidRPr="004E5874">
        <w:rPr>
          <w:rFonts w:cs="Arial"/>
          <w:lang w:eastAsia="pl-PL"/>
        </w:rPr>
        <w:t>obecnie</w:t>
      </w:r>
    </w:p>
    <w:p w:rsidR="00F51871" w:rsidRDefault="00F51871" w:rsidP="00F51871">
      <w:pPr>
        <w:numPr>
          <w:ilvl w:val="0"/>
          <w:numId w:val="38"/>
        </w:numPr>
        <w:spacing w:after="0" w:line="240" w:lineRule="auto"/>
        <w:ind w:left="0" w:firstLine="0"/>
      </w:pPr>
      <w:r>
        <w:t>E</w:t>
      </w:r>
      <w:r w:rsidRPr="004E5874">
        <w:t xml:space="preserve">kspansja </w:t>
      </w:r>
      <w:r>
        <w:t>b</w:t>
      </w:r>
      <w:r w:rsidRPr="004E5874">
        <w:t>anków</w:t>
      </w:r>
      <w:r>
        <w:t xml:space="preserve"> państwowych</w:t>
      </w:r>
      <w:r w:rsidRPr="004E5874">
        <w:t xml:space="preserve"> w Chinach</w:t>
      </w:r>
    </w:p>
    <w:p w:rsidR="00F51871" w:rsidRPr="004E5874" w:rsidRDefault="00F51871" w:rsidP="00F51871">
      <w:pPr>
        <w:numPr>
          <w:ilvl w:val="0"/>
          <w:numId w:val="38"/>
        </w:numPr>
        <w:spacing w:after="0" w:line="240" w:lineRule="auto"/>
        <w:ind w:left="0" w:firstLine="0"/>
      </w:pPr>
      <w:r w:rsidRPr="004E5874">
        <w:rPr>
          <w:shd w:val="clear" w:color="auto" w:fill="FFFFFF"/>
        </w:rPr>
        <w:t>Szybki wzrost gospodarczy w Chinach i problemy zrównoważonego rozwoju</w:t>
      </w:r>
    </w:p>
    <w:p w:rsidR="00F51871" w:rsidRPr="004E5874" w:rsidRDefault="00F51871" w:rsidP="00F51871">
      <w:pPr>
        <w:numPr>
          <w:ilvl w:val="0"/>
          <w:numId w:val="38"/>
        </w:numPr>
        <w:spacing w:after="0" w:line="240" w:lineRule="auto"/>
        <w:ind w:left="0" w:firstLine="0"/>
      </w:pPr>
      <w:r w:rsidRPr="004E5874">
        <w:t>Belt and Road – chińska wizja logistyki międzynarodowego handlu</w:t>
      </w:r>
    </w:p>
    <w:p w:rsidR="00F51871" w:rsidRPr="004E5874" w:rsidRDefault="00F51871" w:rsidP="00F51871">
      <w:pPr>
        <w:numPr>
          <w:ilvl w:val="0"/>
          <w:numId w:val="38"/>
        </w:numPr>
        <w:spacing w:after="0" w:line="240" w:lineRule="auto"/>
        <w:ind w:left="0" w:firstLine="0"/>
      </w:pPr>
      <w:r w:rsidRPr="004E5874">
        <w:t>Międzynarodowe stosunki gospodarcze między Rosją a Chinami w XXI wieku</w:t>
      </w:r>
    </w:p>
    <w:p w:rsidR="00F51871" w:rsidRDefault="00F51871" w:rsidP="00F51871">
      <w:r w:rsidRPr="001B1625">
        <w:rPr>
          <w:rFonts w:cs="Arial"/>
          <w:lang w:eastAsia="pl-PL"/>
        </w:rPr>
        <w:br/>
        <w:t>Tematy mogą być uszczegółowione i ich lista rozszerzona.</w:t>
      </w:r>
    </w:p>
    <w:p w:rsidR="00F51871" w:rsidRDefault="00F51871" w:rsidP="00134ACA">
      <w:pPr>
        <w:shd w:val="clear" w:color="auto" w:fill="FFFFFF"/>
        <w:spacing w:before="100" w:beforeAutospacing="1" w:after="240"/>
        <w:textAlignment w:val="top"/>
        <w:rPr>
          <w:rFonts w:eastAsia="Times New Roman" w:cs="Arial"/>
          <w:b/>
          <w:sz w:val="28"/>
          <w:szCs w:val="28"/>
          <w:lang w:eastAsia="pl-PL"/>
        </w:rPr>
      </w:pPr>
    </w:p>
    <w:p w:rsidR="00CD6AAD" w:rsidRPr="00225F30" w:rsidRDefault="00BD70B0" w:rsidP="00225F30">
      <w:pPr>
        <w:shd w:val="clear" w:color="auto" w:fill="FFFFFF"/>
        <w:spacing w:before="100" w:beforeAutospacing="1" w:after="240"/>
        <w:textAlignment w:val="top"/>
        <w:rPr>
          <w:rFonts w:ascii="Calibri" w:eastAsia="Times New Roman" w:hAnsi="Calibri" w:cs="Arial"/>
          <w:lang w:eastAsia="pl-PL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CD6AAD" w:rsidRPr="00134ACA">
        <w:rPr>
          <w:rFonts w:ascii="Calibri,Bold" w:hAnsi="Calibri,Bold" w:cs="Calibri,Bold"/>
          <w:b/>
          <w:bCs/>
          <w:sz w:val="28"/>
          <w:szCs w:val="28"/>
          <w:u w:val="single"/>
        </w:rPr>
        <w:t>r hab. MARTA GANCARCZYK</w:t>
      </w:r>
      <w:r w:rsidR="00225F30">
        <w:rPr>
          <w:rFonts w:ascii="Calibri,Bold" w:hAnsi="Calibri,Bold" w:cs="Calibri,Bold"/>
          <w:b/>
          <w:bCs/>
          <w:sz w:val="28"/>
          <w:szCs w:val="28"/>
          <w:u w:val="single"/>
        </w:rPr>
        <w:t>, prof. UJ</w:t>
      </w:r>
    </w:p>
    <w:p w:rsidR="005B40B6" w:rsidRDefault="005B40B6" w:rsidP="005B40B6">
      <w:pPr>
        <w:numPr>
          <w:ilvl w:val="0"/>
          <w:numId w:val="37"/>
        </w:numPr>
        <w:spacing w:after="0" w:line="240" w:lineRule="auto"/>
      </w:pPr>
      <w:r>
        <w:t>Przedsiębiorczość i małe i średnie przedsiębiorstwa (MSP) – ekonomiczne i instytucjonalne uwarunkowania procesów założycielskich, wkład MSP w gospodarkę kraju i regionu, regionalne czynniki rozwoju przedsiębiorczości</w:t>
      </w:r>
    </w:p>
    <w:p w:rsidR="005B40B6" w:rsidRDefault="005B40B6" w:rsidP="005B40B6">
      <w:pPr>
        <w:numPr>
          <w:ilvl w:val="0"/>
          <w:numId w:val="37"/>
        </w:numPr>
        <w:spacing w:after="0" w:line="240" w:lineRule="auto"/>
      </w:pPr>
      <w:r>
        <w:t>Źródła finansowania działalności gospodarczej – rynkowe (wewnętrzne i zewnętrzne; zwrotne i udziałowe) i publiczne (fundusze pożyczkowe, fundusze poręczeń kredytowych, dotacje, pomoc publiczna dla przedsiębiorców)</w:t>
      </w:r>
    </w:p>
    <w:p w:rsidR="005B40B6" w:rsidRDefault="005B40B6" w:rsidP="005B40B6">
      <w:pPr>
        <w:numPr>
          <w:ilvl w:val="0"/>
          <w:numId w:val="37"/>
        </w:numPr>
        <w:spacing w:after="0" w:line="240" w:lineRule="auto"/>
      </w:pPr>
      <w:r>
        <w:t>Polityka wsparcia MSP – przesłanki, fundusze i programy UE, ocena/ewaluacja programów wsparcia publicznego, zarządzanie wsparciem, instytucjonalna struktura wsparcia</w:t>
      </w:r>
    </w:p>
    <w:p w:rsidR="005B40B6" w:rsidRDefault="005B40B6" w:rsidP="005B40B6">
      <w:pPr>
        <w:numPr>
          <w:ilvl w:val="0"/>
          <w:numId w:val="37"/>
        </w:numPr>
        <w:spacing w:after="0" w:line="240" w:lineRule="auto"/>
      </w:pPr>
      <w:r>
        <w:t>Klastry przedsiębiorstw – kooperacja i konkurencja wśród MSP, wpływ klastrów na konkurencyjność przedsiębiorstw</w:t>
      </w:r>
    </w:p>
    <w:p w:rsidR="005B40B6" w:rsidRDefault="005B40B6" w:rsidP="005B40B6">
      <w:pPr>
        <w:numPr>
          <w:ilvl w:val="0"/>
          <w:numId w:val="37"/>
        </w:numPr>
        <w:spacing w:after="0" w:line="240" w:lineRule="auto"/>
      </w:pPr>
      <w:r w:rsidRPr="00CA4127">
        <w:t xml:space="preserve">Sektory technologicznie zaawansowane i sektory kreatywne (sektory kultury, rozrywki, </w:t>
      </w:r>
      <w:r>
        <w:t xml:space="preserve">mediów, </w:t>
      </w:r>
      <w:r w:rsidRPr="00CA4127">
        <w:t>projektowania/wzornictwa,</w:t>
      </w:r>
      <w:r>
        <w:t xml:space="preserve"> oprogramowania); firmy technologiczne</w:t>
      </w:r>
    </w:p>
    <w:p w:rsidR="005B40B6" w:rsidRDefault="005B40B6" w:rsidP="005B40B6">
      <w:pPr>
        <w:numPr>
          <w:ilvl w:val="0"/>
          <w:numId w:val="37"/>
        </w:numPr>
        <w:spacing w:after="0" w:line="240" w:lineRule="auto"/>
      </w:pPr>
      <w:r>
        <w:t>Transfer i dyfuzja technologii w działalności małych i średnich przedsiębiorstw; parki technologiczne, ośrodki innowacji, inkubatory technologiczne</w:t>
      </w:r>
    </w:p>
    <w:p w:rsidR="005B40B6" w:rsidRDefault="005B40B6" w:rsidP="005B40B6">
      <w:pPr>
        <w:numPr>
          <w:ilvl w:val="0"/>
          <w:numId w:val="37"/>
        </w:numPr>
        <w:spacing w:after="0" w:line="240" w:lineRule="auto"/>
      </w:pPr>
      <w:r>
        <w:t>Rozwój regionalny i lokalny; strategie rozwoju regionalnego i lokalnego</w:t>
      </w:r>
    </w:p>
    <w:p w:rsidR="005B40B6" w:rsidRDefault="005B40B6" w:rsidP="005B40B6">
      <w:pPr>
        <w:numPr>
          <w:ilvl w:val="0"/>
          <w:numId w:val="37"/>
        </w:numPr>
        <w:spacing w:after="0" w:line="240" w:lineRule="auto"/>
      </w:pPr>
      <w:r>
        <w:lastRenderedPageBreak/>
        <w:t>Proces wzrostu przedsiębiorstwa – determinanty wzrostu przedsiębiorstwa, firmy szybko rosnące (gazele) – specyfika i gospodarcze znaczenie</w:t>
      </w:r>
    </w:p>
    <w:p w:rsidR="005B40B6" w:rsidRDefault="005B40B6" w:rsidP="005B40B6">
      <w:pPr>
        <w:numPr>
          <w:ilvl w:val="0"/>
          <w:numId w:val="37"/>
        </w:numPr>
        <w:spacing w:after="0" w:line="240" w:lineRule="auto"/>
      </w:pPr>
      <w:r>
        <w:t>Przedsiębiorczość akademicka – zakładanie i rozwój innowacyjnych firm przez kadrę akademicką i studentów</w:t>
      </w:r>
    </w:p>
    <w:p w:rsidR="005B40B6" w:rsidRDefault="005B40B6" w:rsidP="005B40B6">
      <w:pPr>
        <w:numPr>
          <w:ilvl w:val="0"/>
          <w:numId w:val="37"/>
        </w:numPr>
        <w:spacing w:after="0" w:line="240" w:lineRule="auto"/>
      </w:pPr>
      <w:r>
        <w:t xml:space="preserve">Internacjonalizacja MSP – przesłanki, strategie i metody, wpływ na konkurencyjność; firmy </w:t>
      </w:r>
      <w:proofErr w:type="spellStart"/>
      <w:r w:rsidRPr="001E06EA">
        <w:rPr>
          <w:i/>
          <w:iCs/>
        </w:rPr>
        <w:t>born</w:t>
      </w:r>
      <w:proofErr w:type="spellEnd"/>
      <w:r w:rsidRPr="001E06EA">
        <w:rPr>
          <w:i/>
          <w:iCs/>
        </w:rPr>
        <w:t xml:space="preserve"> </w:t>
      </w:r>
      <w:proofErr w:type="spellStart"/>
      <w:r w:rsidRPr="001E06EA">
        <w:rPr>
          <w:i/>
          <w:iCs/>
        </w:rPr>
        <w:t>global</w:t>
      </w:r>
      <w:proofErr w:type="spellEnd"/>
    </w:p>
    <w:p w:rsidR="005B40B6" w:rsidRDefault="005B40B6" w:rsidP="005B40B6">
      <w:pPr>
        <w:numPr>
          <w:ilvl w:val="0"/>
          <w:numId w:val="37"/>
        </w:numPr>
        <w:spacing w:after="0" w:line="240" w:lineRule="auto"/>
      </w:pPr>
      <w:r>
        <w:t>Informacja i doradztwo dla MSP</w:t>
      </w:r>
    </w:p>
    <w:p w:rsidR="00653909" w:rsidRDefault="005B40B6" w:rsidP="005B40B6">
      <w:pPr>
        <w:numPr>
          <w:ilvl w:val="0"/>
          <w:numId w:val="37"/>
        </w:numPr>
        <w:spacing w:after="0" w:line="240" w:lineRule="auto"/>
        <w:rPr>
          <w:lang w:val="en-US"/>
        </w:rPr>
      </w:pPr>
      <w:proofErr w:type="spellStart"/>
      <w:r w:rsidRPr="0085497E">
        <w:rPr>
          <w:lang w:val="en-US"/>
        </w:rPr>
        <w:t>Restrukturyzacja</w:t>
      </w:r>
      <w:proofErr w:type="spellEnd"/>
      <w:r w:rsidRPr="0085497E">
        <w:rPr>
          <w:lang w:val="en-US"/>
        </w:rPr>
        <w:t xml:space="preserve"> </w:t>
      </w:r>
      <w:proofErr w:type="spellStart"/>
      <w:r w:rsidRPr="0085497E">
        <w:rPr>
          <w:lang w:val="en-US"/>
        </w:rPr>
        <w:t>przedsiębiorstw</w:t>
      </w:r>
      <w:proofErr w:type="spellEnd"/>
      <w:r w:rsidRPr="0085497E">
        <w:rPr>
          <w:lang w:val="en-US"/>
        </w:rPr>
        <w:t xml:space="preserve"> - </w:t>
      </w:r>
      <w:r w:rsidRPr="0085497E">
        <w:rPr>
          <w:i/>
          <w:lang w:val="en-US"/>
        </w:rPr>
        <w:t>business process reenginee</w:t>
      </w:r>
      <w:r>
        <w:rPr>
          <w:i/>
          <w:lang w:val="en-US"/>
        </w:rPr>
        <w:t>ring, lean management, spin-off</w:t>
      </w:r>
      <w:r w:rsidRPr="0085497E">
        <w:rPr>
          <w:i/>
          <w:lang w:val="en-US"/>
        </w:rPr>
        <w:t>, outsourcing</w:t>
      </w:r>
    </w:p>
    <w:p w:rsidR="005B40B6" w:rsidRDefault="005B40B6" w:rsidP="005B40B6">
      <w:pPr>
        <w:spacing w:after="0" w:line="240" w:lineRule="auto"/>
        <w:ind w:left="720"/>
        <w:rPr>
          <w:lang w:val="en-US"/>
        </w:rPr>
      </w:pPr>
    </w:p>
    <w:p w:rsidR="007118D8" w:rsidRDefault="007118D8" w:rsidP="005B40B6">
      <w:pPr>
        <w:spacing w:after="0" w:line="240" w:lineRule="auto"/>
        <w:ind w:left="720"/>
        <w:rPr>
          <w:lang w:val="en-US"/>
        </w:rPr>
      </w:pPr>
    </w:p>
    <w:p w:rsidR="005B40B6" w:rsidRPr="005B40B6" w:rsidRDefault="005B40B6" w:rsidP="005B40B6">
      <w:pPr>
        <w:spacing w:after="0" w:line="240" w:lineRule="auto"/>
        <w:ind w:left="720"/>
        <w:rPr>
          <w:lang w:val="en-US"/>
        </w:rPr>
      </w:pPr>
    </w:p>
    <w:p w:rsidR="009E0200" w:rsidRPr="008D3733" w:rsidRDefault="00E32C1A" w:rsidP="00F4184C">
      <w:pPr>
        <w:spacing w:after="0"/>
        <w:rPr>
          <w:rFonts w:eastAsia="Calibri" w:cs="Times New Roman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9E0200" w:rsidRPr="008D3733">
        <w:rPr>
          <w:rFonts w:ascii="Calibri,Bold" w:hAnsi="Calibri,Bold" w:cs="Calibri,Bold"/>
          <w:b/>
          <w:bCs/>
          <w:sz w:val="28"/>
          <w:szCs w:val="28"/>
          <w:u w:val="single"/>
        </w:rPr>
        <w:t>r hab. inż. KRZYSZTOF BERBEKA</w:t>
      </w:r>
      <w:r w:rsidR="00F4184C">
        <w:rPr>
          <w:rFonts w:ascii="Calibri,Bold" w:hAnsi="Calibri,Bold" w:cs="Calibri,Bold"/>
          <w:b/>
          <w:bCs/>
          <w:sz w:val="28"/>
          <w:szCs w:val="28"/>
          <w:u w:val="single"/>
        </w:rPr>
        <w:t>, prof. UJ</w:t>
      </w:r>
    </w:p>
    <w:p w:rsidR="009E0200" w:rsidRPr="00062230" w:rsidRDefault="009E0200" w:rsidP="00F4184C">
      <w:pPr>
        <w:pStyle w:val="Akapitzlist"/>
        <w:shd w:val="clear" w:color="auto" w:fill="FFFFFF"/>
        <w:spacing w:before="100" w:beforeAutospacing="1" w:after="0"/>
        <w:textAlignment w:val="top"/>
        <w:rPr>
          <w:rFonts w:ascii="Calibri" w:eastAsia="Times New Roman" w:hAnsi="Calibri" w:cs="Arial"/>
          <w:lang w:val="pl-PL" w:eastAsia="pl-PL"/>
        </w:rPr>
      </w:pPr>
      <w:r w:rsidRPr="00062230">
        <w:rPr>
          <w:rFonts w:ascii="Calibri" w:eastAsia="Times New Roman" w:hAnsi="Calibri" w:cs="Arial"/>
          <w:lang w:val="pl-PL" w:eastAsia="pl-PL"/>
        </w:rPr>
        <w:br/>
      </w:r>
      <w:r w:rsidRPr="00F8393B">
        <w:rPr>
          <w:rFonts w:ascii="Calibri" w:eastAsia="Times New Roman" w:hAnsi="Calibri" w:cs="Arial"/>
          <w:b/>
          <w:u w:val="single"/>
          <w:lang w:val="pl-PL" w:eastAsia="pl-PL"/>
        </w:rPr>
        <w:t>I.    Problematyka akcesyjna</w:t>
      </w:r>
      <w:r w:rsidRPr="00062230">
        <w:rPr>
          <w:rFonts w:ascii="Calibri" w:eastAsia="Times New Roman" w:hAnsi="Calibri" w:cs="Arial"/>
          <w:lang w:val="pl-PL" w:eastAsia="pl-PL"/>
        </w:rPr>
        <w:br/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t>1.    Problematyka przystąpienia Polski do UE (aspekty makroekonomiczne).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  <w:t>2.    Taktyka wykorzystania środków pomocy UE w aspekcie makroekonomicznym.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  <w:t>3.    Zasady korzystania ze środków pomocowych UE, podejście mikroekonomiczne (zasady ubiegania się o dotacje z różnorodnych funduszy UE przez pojedyncze podmioty gospodarcze, gminy itd.).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  <w:t>4.    Rachunki kosztów i korzyści akcesji– wybrane przykłady.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</w:r>
    </w:p>
    <w:p w:rsidR="009E0200" w:rsidRDefault="009E0200" w:rsidP="007118D8">
      <w:pPr>
        <w:pStyle w:val="Akapitzlist"/>
        <w:shd w:val="clear" w:color="auto" w:fill="FFFFFF"/>
        <w:spacing w:before="100" w:beforeAutospacing="1" w:after="240"/>
        <w:textAlignment w:val="top"/>
        <w:rPr>
          <w:rFonts w:ascii="Calibri" w:eastAsia="Times New Roman" w:hAnsi="Calibri" w:cs="Arial"/>
          <w:sz w:val="22"/>
          <w:szCs w:val="22"/>
          <w:lang w:val="pl-PL" w:eastAsia="pl-PL"/>
        </w:rPr>
      </w:pPr>
      <w:r w:rsidRPr="00F8393B">
        <w:rPr>
          <w:rFonts w:ascii="Calibri" w:eastAsia="Times New Roman" w:hAnsi="Calibri" w:cs="Arial"/>
          <w:b/>
          <w:u w:val="single"/>
          <w:lang w:val="pl-PL" w:eastAsia="pl-PL"/>
        </w:rPr>
        <w:t>II.    Globalne problemy ekologiczne (zmiany klimatyczne, dziura ozonowa, bioróżnorodność)</w:t>
      </w:r>
      <w:r w:rsidRPr="00062230">
        <w:rPr>
          <w:rFonts w:ascii="Calibri" w:eastAsia="Times New Roman" w:hAnsi="Calibri" w:cs="Arial"/>
          <w:lang w:val="pl-PL" w:eastAsia="pl-PL"/>
        </w:rPr>
        <w:br/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t>5.    Problem negocjacji międzynarodowych przy rozwiązywaniu globalnych problemów środowiskowych.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  <w:t>6.    Wdrażanie międzynarodowych porozumień – Polska i kraje UE.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  <w:t>7.    Zagadnienia sprawiedliwości i zasad podziału zobowiązań przy porozumieniach międzynarodowych zmierzających do zapobiegania zjawiskom o charakterze globalnym.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</w:r>
      <w:r w:rsidRPr="00062230">
        <w:rPr>
          <w:rFonts w:ascii="Calibri" w:eastAsia="Times New Roman" w:hAnsi="Calibri" w:cs="Arial"/>
          <w:lang w:val="pl-PL" w:eastAsia="pl-PL"/>
        </w:rPr>
        <w:br/>
      </w:r>
      <w:r w:rsidRPr="00F8393B">
        <w:rPr>
          <w:rFonts w:ascii="Calibri" w:eastAsia="Times New Roman" w:hAnsi="Calibri" w:cs="Arial"/>
          <w:b/>
          <w:u w:val="single"/>
          <w:lang w:val="pl-PL" w:eastAsia="pl-PL"/>
        </w:rPr>
        <w:t>III.    Energetyka</w:t>
      </w:r>
      <w:r w:rsidRPr="00062230">
        <w:rPr>
          <w:rFonts w:ascii="Calibri" w:eastAsia="Times New Roman" w:hAnsi="Calibri" w:cs="Arial"/>
          <w:lang w:val="pl-PL" w:eastAsia="pl-PL"/>
        </w:rPr>
        <w:br/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t>8.    Polityka energetyczna na poziomie UE oraz wybranych krajów.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  <w:t>9.    Odnawialne źródła energii: koncepcje wsparcia ze środków publicznych, efektywność wsparcia publicznego, wpływ na ceny energii, problematyka realizacji pojedynczych projektów.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  <w:t>10.    Kontrowersje wokół energetyki jądrowej, górnictwa węgli – analizy ekonomiczne.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</w:r>
      <w:r w:rsidRPr="00062230">
        <w:rPr>
          <w:rFonts w:ascii="Calibri" w:eastAsia="Times New Roman" w:hAnsi="Calibri" w:cs="Arial"/>
          <w:lang w:val="pl-PL" w:eastAsia="pl-PL"/>
        </w:rPr>
        <w:br/>
      </w:r>
      <w:r w:rsidRPr="00F8393B">
        <w:rPr>
          <w:rFonts w:ascii="Calibri" w:eastAsia="Times New Roman" w:hAnsi="Calibri" w:cs="Arial"/>
          <w:b/>
          <w:u w:val="single"/>
          <w:lang w:val="pl-PL" w:eastAsia="pl-PL"/>
        </w:rPr>
        <w:t>IV.    Przedsięwzięcia związane z dostosowaniem prawa do wymagań międzynarodowych w obszarze ochrony środowiska</w:t>
      </w:r>
      <w:r w:rsidRPr="00062230">
        <w:rPr>
          <w:rFonts w:ascii="Calibri" w:eastAsia="Times New Roman" w:hAnsi="Calibri" w:cs="Arial"/>
          <w:lang w:val="pl-PL" w:eastAsia="pl-PL"/>
        </w:rPr>
        <w:br/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t>11.    Efektywność ekonomiczna i społeczna przedsięwzięć ochronnych z punktu widzenia przedsiębiorstw oraz społeczeństwa.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  <w:t>12.    Jednostki samorządu terytorialnego wobec nowych obowiązków związanych z przyjęciem i wdrożeniem prawa UE w zakresie ochrony środowiska.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  <w:t>13.    Przedsiębiorstwa wobec nowych obowiązków związanych z przyjęciem i wdrożeniem prawa UE w zakresie ochrony środowiska.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  <w:t>14.    Rozwiązania związane z ograniczaniem skutków niskiej emisji, Kraków i inne przykłady.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</w:r>
      <w:r w:rsidRPr="00062230">
        <w:rPr>
          <w:rFonts w:ascii="Calibri" w:eastAsia="Times New Roman" w:hAnsi="Calibri" w:cs="Arial"/>
          <w:lang w:val="pl-PL" w:eastAsia="pl-PL"/>
        </w:rPr>
        <w:br/>
      </w:r>
      <w:r w:rsidRPr="00F8393B">
        <w:rPr>
          <w:rFonts w:ascii="Calibri" w:eastAsia="Times New Roman" w:hAnsi="Calibri" w:cs="Arial"/>
          <w:b/>
          <w:u w:val="single"/>
          <w:lang w:val="pl-PL" w:eastAsia="pl-PL"/>
        </w:rPr>
        <w:t>V.    Instrumenty polityki ekologicznej i energetycznej</w:t>
      </w:r>
      <w:r w:rsidRPr="00062230">
        <w:rPr>
          <w:rFonts w:ascii="Calibri" w:eastAsia="Times New Roman" w:hAnsi="Calibri" w:cs="Arial"/>
          <w:lang w:val="pl-PL" w:eastAsia="pl-PL"/>
        </w:rPr>
        <w:br/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t>15.    Efektywność i skuteczność polityki ekologicznej oraz  jej poszczególnych instrumentów (opłat, kar, opłat produktowych).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  <w:t>16.    Egzekwowanie zasad „płaci zanieczyszczający” i „płaci użytkownik” w polityce ochrony środowiska- wybrane przykłady (energetyka, gospodarka wodna, gospodarka odpadami)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  <w:t>17.    Reakcje gospodarstw domowych na instrumenty polityki ekologicznej (problematyka optymalizacji zużycia energii, wody, produkcji odpadów).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  <w:t>18.    Wycena warunkowa jako instrument określania zmian  wartości środowiska.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  <w:t xml:space="preserve">19.    Handel uprawnieniami do emisji zanieczyszczeń jako narzędzie minimalizacji kosztów spełnienia 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lastRenderedPageBreak/>
        <w:t>wybranych celów ekologicznych - aspekty globalne i regionalne.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  <w:t>20.    Ochrona przeciwpowodziowa jako dobro publiczne – analiza efektywności w dowolnie wybranej skali.</w:t>
      </w:r>
      <w:r w:rsidRPr="00F8393B">
        <w:rPr>
          <w:rFonts w:ascii="Calibri" w:eastAsia="Times New Roman" w:hAnsi="Calibri" w:cs="Arial"/>
          <w:sz w:val="22"/>
          <w:szCs w:val="22"/>
          <w:lang w:val="pl-PL" w:eastAsia="pl-PL"/>
        </w:rPr>
        <w:br/>
        <w:t>21.    Problematyka limitacji dostępu do obszarów przyrodniczo cennych w warunkach dużej presji turystycznej, doświadczenia z instrumentami ekonomicznymi (opłaty), administracyjnymi (loterie).</w:t>
      </w:r>
    </w:p>
    <w:p w:rsidR="007118D8" w:rsidRDefault="007118D8" w:rsidP="007118D8">
      <w:pPr>
        <w:pStyle w:val="Akapitzlist"/>
        <w:shd w:val="clear" w:color="auto" w:fill="FFFFFF"/>
        <w:spacing w:before="100" w:beforeAutospacing="1" w:after="240"/>
        <w:textAlignment w:val="top"/>
        <w:rPr>
          <w:rFonts w:ascii="Calibri" w:eastAsia="Times New Roman" w:hAnsi="Calibri" w:cs="Arial"/>
          <w:sz w:val="22"/>
          <w:szCs w:val="22"/>
          <w:lang w:val="pl-PL" w:eastAsia="pl-PL"/>
        </w:rPr>
      </w:pPr>
    </w:p>
    <w:p w:rsidR="007118D8" w:rsidRPr="007118D8" w:rsidRDefault="007118D8" w:rsidP="007118D8">
      <w:pPr>
        <w:pStyle w:val="Akapitzlist"/>
        <w:shd w:val="clear" w:color="auto" w:fill="FFFFFF"/>
        <w:spacing w:before="100" w:beforeAutospacing="1" w:after="240"/>
        <w:textAlignment w:val="top"/>
        <w:rPr>
          <w:rFonts w:ascii="Calibri" w:eastAsia="Times New Roman" w:hAnsi="Calibri" w:cs="Arial"/>
          <w:sz w:val="22"/>
          <w:szCs w:val="22"/>
          <w:lang w:val="pl-PL" w:eastAsia="pl-PL"/>
        </w:rPr>
      </w:pPr>
    </w:p>
    <w:p w:rsidR="009E0200" w:rsidRDefault="009E0200" w:rsidP="006C3EFD">
      <w:pPr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dr hab. ANNA WZIĄTEK-STAŚKO, prof. UJ</w:t>
      </w:r>
    </w:p>
    <w:p w:rsidR="006C3EFD" w:rsidRDefault="006C3EFD" w:rsidP="006C3EFD">
      <w:pPr>
        <w:spacing w:after="0" w:line="240" w:lineRule="auto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9E0200" w:rsidRPr="00717D48" w:rsidRDefault="009E0200" w:rsidP="009E0200">
      <w:pPr>
        <w:spacing w:after="0" w:line="240" w:lineRule="auto"/>
        <w:jc w:val="both"/>
        <w:rPr>
          <w:rFonts w:cs="Arial"/>
          <w:b/>
        </w:rPr>
      </w:pPr>
      <w:r w:rsidRPr="00717D48">
        <w:rPr>
          <w:rFonts w:cs="Arial"/>
          <w:b/>
        </w:rPr>
        <w:t>Seminarium magisterskie- wybrane obszary badawcze</w:t>
      </w:r>
    </w:p>
    <w:p w:rsidR="009E0200" w:rsidRPr="00717D48" w:rsidRDefault="009E0200" w:rsidP="009E0200">
      <w:pPr>
        <w:spacing w:after="0" w:line="240" w:lineRule="auto"/>
        <w:jc w:val="both"/>
        <w:rPr>
          <w:rFonts w:cs="Arial"/>
        </w:rPr>
      </w:pPr>
    </w:p>
    <w:p w:rsidR="001B30E9" w:rsidRPr="001B30E9" w:rsidRDefault="001B30E9" w:rsidP="001B30E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30E9">
        <w:rPr>
          <w:rFonts w:asciiTheme="minorHAnsi" w:hAnsiTheme="minorHAnsi" w:cstheme="minorHAnsi"/>
          <w:sz w:val="22"/>
          <w:szCs w:val="22"/>
          <w:lang w:val="pl-PL"/>
        </w:rPr>
        <w:t>Marketing-mix na przykładzie wybranej organizacji.</w:t>
      </w:r>
    </w:p>
    <w:p w:rsidR="001B30E9" w:rsidRPr="001B30E9" w:rsidRDefault="001B30E9" w:rsidP="001B30E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30E9">
        <w:rPr>
          <w:rFonts w:asciiTheme="minorHAnsi" w:hAnsiTheme="minorHAnsi" w:cstheme="minorHAnsi"/>
          <w:sz w:val="22"/>
          <w:szCs w:val="22"/>
          <w:lang w:val="pl-PL"/>
        </w:rPr>
        <w:t>Klasyczne i nowoczesne formy reklamy.</w:t>
      </w:r>
    </w:p>
    <w:p w:rsidR="001B30E9" w:rsidRPr="001B30E9" w:rsidRDefault="001B30E9" w:rsidP="001B30E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30E9">
        <w:rPr>
          <w:rFonts w:asciiTheme="minorHAnsi" w:hAnsiTheme="minorHAnsi" w:cstheme="minorHAnsi"/>
          <w:sz w:val="22"/>
          <w:szCs w:val="22"/>
          <w:lang w:val="pl-PL"/>
        </w:rPr>
        <w:t>Internet jako instrument doskonalenia skuteczności zarządzania we współczesnej organizacji.</w:t>
      </w:r>
    </w:p>
    <w:p w:rsidR="001B30E9" w:rsidRPr="001B30E9" w:rsidRDefault="001B30E9" w:rsidP="001B30E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30E9">
        <w:rPr>
          <w:rFonts w:asciiTheme="minorHAnsi" w:hAnsiTheme="minorHAnsi" w:cstheme="minorHAnsi"/>
          <w:sz w:val="22"/>
          <w:szCs w:val="22"/>
          <w:lang w:val="pl-PL"/>
        </w:rPr>
        <w:t>Reklama jako narzędzie doskonalenia efektywności ekonomicznej organizacji.</w:t>
      </w:r>
    </w:p>
    <w:p w:rsidR="001B30E9" w:rsidRPr="001B30E9" w:rsidRDefault="001B30E9" w:rsidP="001B30E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30E9">
        <w:rPr>
          <w:rFonts w:asciiTheme="minorHAnsi" w:hAnsiTheme="minorHAnsi" w:cstheme="minorHAnsi"/>
          <w:sz w:val="22"/>
          <w:szCs w:val="22"/>
          <w:lang w:val="pl-PL"/>
        </w:rPr>
        <w:t>CSR narzędziem kreowania wizerunku organizacji.</w:t>
      </w:r>
    </w:p>
    <w:p w:rsidR="001B30E9" w:rsidRPr="001B30E9" w:rsidRDefault="001B30E9" w:rsidP="001B30E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30E9">
        <w:rPr>
          <w:rFonts w:asciiTheme="minorHAnsi" w:hAnsiTheme="minorHAnsi" w:cstheme="minorHAnsi"/>
          <w:sz w:val="22"/>
          <w:szCs w:val="22"/>
          <w:lang w:val="pl-PL"/>
        </w:rPr>
        <w:t>Rola mediów społecznościowych w procesie doskonalenia skuteczności zarządzania.</w:t>
      </w:r>
    </w:p>
    <w:p w:rsidR="001B30E9" w:rsidRPr="001B30E9" w:rsidRDefault="001B30E9" w:rsidP="001B30E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B30E9">
        <w:rPr>
          <w:rFonts w:asciiTheme="minorHAnsi" w:hAnsiTheme="minorHAnsi" w:cstheme="minorHAnsi"/>
          <w:sz w:val="22"/>
          <w:szCs w:val="22"/>
          <w:lang w:val="pl-PL"/>
        </w:rPr>
        <w:t>Marketingowa strategia kreowania turystycznego produktu regionu.</w:t>
      </w:r>
    </w:p>
    <w:p w:rsidR="001B30E9" w:rsidRPr="001B30E9" w:rsidRDefault="001B30E9" w:rsidP="001B30E9">
      <w:pPr>
        <w:pStyle w:val="Akapitzlist"/>
        <w:numPr>
          <w:ilvl w:val="0"/>
          <w:numId w:val="3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30E9">
        <w:rPr>
          <w:rFonts w:asciiTheme="minorHAnsi" w:hAnsiTheme="minorHAnsi" w:cstheme="minorHAnsi"/>
          <w:sz w:val="22"/>
          <w:szCs w:val="22"/>
          <w:lang w:val="pl-PL"/>
        </w:rPr>
        <w:t>Elastyczność czy stabilizacja - dylematy polityki zatrudnienia we</w:t>
      </w:r>
    </w:p>
    <w:p w:rsidR="001B30E9" w:rsidRPr="001B30E9" w:rsidRDefault="001B30E9" w:rsidP="001B30E9">
      <w:pPr>
        <w:pStyle w:val="Akapitzlist"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1B30E9">
        <w:rPr>
          <w:rFonts w:asciiTheme="minorHAnsi" w:hAnsiTheme="minorHAnsi" w:cstheme="minorHAnsi"/>
          <w:sz w:val="22"/>
          <w:szCs w:val="22"/>
        </w:rPr>
        <w:t>współczesnych</w:t>
      </w:r>
      <w:proofErr w:type="spellEnd"/>
      <w:r w:rsidRPr="001B30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B30E9">
        <w:rPr>
          <w:rFonts w:asciiTheme="minorHAnsi" w:hAnsiTheme="minorHAnsi" w:cstheme="minorHAnsi"/>
          <w:sz w:val="22"/>
          <w:szCs w:val="22"/>
        </w:rPr>
        <w:t>organizacjach</w:t>
      </w:r>
      <w:proofErr w:type="spellEnd"/>
      <w:r w:rsidRPr="001B30E9">
        <w:rPr>
          <w:rFonts w:asciiTheme="minorHAnsi" w:hAnsiTheme="minorHAnsi" w:cstheme="minorHAnsi"/>
          <w:sz w:val="22"/>
          <w:szCs w:val="22"/>
        </w:rPr>
        <w:t>.</w:t>
      </w:r>
    </w:p>
    <w:p w:rsidR="001B30E9" w:rsidRPr="001B30E9" w:rsidRDefault="001B30E9" w:rsidP="001B30E9">
      <w:pPr>
        <w:pStyle w:val="Akapitzlist"/>
        <w:numPr>
          <w:ilvl w:val="0"/>
          <w:numId w:val="3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30E9">
        <w:rPr>
          <w:rFonts w:asciiTheme="minorHAnsi" w:hAnsiTheme="minorHAnsi" w:cstheme="minorHAnsi"/>
          <w:sz w:val="22"/>
          <w:szCs w:val="22"/>
          <w:lang w:val="pl-PL"/>
        </w:rPr>
        <w:t>Formy zatrudnienia  a poziom motywacji pracowników.</w:t>
      </w:r>
    </w:p>
    <w:p w:rsidR="001B30E9" w:rsidRPr="001B30E9" w:rsidRDefault="001B30E9" w:rsidP="001B30E9">
      <w:pPr>
        <w:pStyle w:val="Akapitzlist"/>
        <w:numPr>
          <w:ilvl w:val="0"/>
          <w:numId w:val="3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30E9">
        <w:rPr>
          <w:rFonts w:asciiTheme="minorHAnsi" w:hAnsiTheme="minorHAnsi" w:cstheme="minorHAnsi"/>
          <w:sz w:val="22"/>
          <w:szCs w:val="22"/>
          <w:lang w:val="pl-PL"/>
        </w:rPr>
        <w:t>Kompetencje pokolenia Z a oczekiwania współczesnego rynku pracy.</w:t>
      </w:r>
    </w:p>
    <w:p w:rsidR="001B30E9" w:rsidRPr="001B30E9" w:rsidRDefault="001B30E9" w:rsidP="001B30E9">
      <w:pPr>
        <w:pStyle w:val="Akapitzlist"/>
        <w:numPr>
          <w:ilvl w:val="0"/>
          <w:numId w:val="3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30E9">
        <w:rPr>
          <w:rFonts w:asciiTheme="minorHAnsi" w:hAnsiTheme="minorHAnsi" w:cstheme="minorHAnsi"/>
          <w:sz w:val="22"/>
          <w:szCs w:val="22"/>
          <w:lang w:val="pl-PL"/>
        </w:rPr>
        <w:t>Różnorodność pracowników- implikacje dla współczesnego rynku pracy.</w:t>
      </w:r>
    </w:p>
    <w:p w:rsidR="001B30E9" w:rsidRPr="001B30E9" w:rsidRDefault="001B30E9" w:rsidP="001B30E9">
      <w:pPr>
        <w:pStyle w:val="Akapitzlist"/>
        <w:numPr>
          <w:ilvl w:val="0"/>
          <w:numId w:val="3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30E9">
        <w:rPr>
          <w:rFonts w:asciiTheme="minorHAnsi" w:hAnsiTheme="minorHAnsi" w:cstheme="minorHAnsi"/>
          <w:sz w:val="22"/>
          <w:szCs w:val="22"/>
          <w:lang w:val="pl-PL"/>
        </w:rPr>
        <w:t>Innowacje organizacyjne jako determinanty budowania przewagi konkurencyjnej przedsiębiorstwa.</w:t>
      </w:r>
    </w:p>
    <w:p w:rsidR="001B30E9" w:rsidRPr="001B30E9" w:rsidRDefault="001B30E9" w:rsidP="001B30E9">
      <w:pPr>
        <w:pStyle w:val="Akapitzlist"/>
        <w:numPr>
          <w:ilvl w:val="0"/>
          <w:numId w:val="3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30E9">
        <w:rPr>
          <w:rFonts w:asciiTheme="minorHAnsi" w:hAnsiTheme="minorHAnsi" w:cstheme="minorHAnsi"/>
          <w:sz w:val="22"/>
          <w:szCs w:val="22"/>
          <w:lang w:val="pl-PL"/>
        </w:rPr>
        <w:t>Model przywództwa a skuteczność zarządzania.</w:t>
      </w:r>
    </w:p>
    <w:p w:rsidR="001B30E9" w:rsidRPr="001B30E9" w:rsidRDefault="001B30E9" w:rsidP="001B30E9">
      <w:pPr>
        <w:pStyle w:val="Akapitzlist"/>
        <w:numPr>
          <w:ilvl w:val="0"/>
          <w:numId w:val="3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30E9">
        <w:rPr>
          <w:rFonts w:asciiTheme="minorHAnsi" w:hAnsiTheme="minorHAnsi" w:cstheme="minorHAnsi"/>
          <w:sz w:val="22"/>
          <w:szCs w:val="22"/>
          <w:lang w:val="pl-PL"/>
        </w:rPr>
        <w:t>Płeć menedżera a skuteczność zarządzania.</w:t>
      </w:r>
    </w:p>
    <w:p w:rsidR="001B30E9" w:rsidRPr="001B30E9" w:rsidRDefault="001B30E9" w:rsidP="001B30E9">
      <w:pPr>
        <w:pStyle w:val="Akapitzlist"/>
        <w:numPr>
          <w:ilvl w:val="0"/>
          <w:numId w:val="3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30E9">
        <w:rPr>
          <w:rFonts w:asciiTheme="minorHAnsi" w:hAnsiTheme="minorHAnsi" w:cstheme="minorHAnsi"/>
          <w:sz w:val="22"/>
          <w:szCs w:val="22"/>
          <w:lang w:val="pl-PL"/>
        </w:rPr>
        <w:t>Uwarunkowania skuteczności zarządzania organizacją wirtualną.</w:t>
      </w:r>
    </w:p>
    <w:p w:rsidR="001B30E9" w:rsidRPr="001B30E9" w:rsidRDefault="001B30E9" w:rsidP="001B30E9">
      <w:pPr>
        <w:pStyle w:val="Akapitzlist"/>
        <w:numPr>
          <w:ilvl w:val="0"/>
          <w:numId w:val="36"/>
        </w:numPr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1B30E9">
        <w:rPr>
          <w:rFonts w:asciiTheme="minorHAnsi" w:hAnsiTheme="minorHAnsi" w:cstheme="minorHAnsi"/>
          <w:sz w:val="22"/>
          <w:szCs w:val="22"/>
          <w:lang w:val="pl-PL"/>
        </w:rPr>
        <w:t xml:space="preserve">Dysfunkcje w organizacji jako reduktory jej efektywności. </w:t>
      </w:r>
    </w:p>
    <w:p w:rsidR="001B30E9" w:rsidRPr="001B30E9" w:rsidRDefault="001B30E9" w:rsidP="001B30E9">
      <w:pPr>
        <w:pStyle w:val="Akapitzlist"/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1B30E9" w:rsidRPr="001B30E9" w:rsidRDefault="001B30E9" w:rsidP="001B30E9">
      <w:pPr>
        <w:pStyle w:val="Akapitzlist"/>
        <w:spacing w:after="0" w:line="36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1B30E9" w:rsidRPr="001B30E9" w:rsidRDefault="001B30E9" w:rsidP="001B30E9">
      <w:pPr>
        <w:spacing w:after="0" w:line="360" w:lineRule="auto"/>
        <w:jc w:val="both"/>
        <w:rPr>
          <w:rFonts w:cstheme="minorHAnsi"/>
        </w:rPr>
      </w:pPr>
      <w:r w:rsidRPr="001B30E9">
        <w:rPr>
          <w:rFonts w:cstheme="minorHAnsi"/>
        </w:rPr>
        <w:t>Podane obszary można łączyć tworząc osobne tematy.</w:t>
      </w:r>
    </w:p>
    <w:p w:rsidR="00650AAA" w:rsidRDefault="001B30E9" w:rsidP="007118D8">
      <w:pPr>
        <w:spacing w:after="0" w:line="360" w:lineRule="auto"/>
        <w:jc w:val="both"/>
        <w:rPr>
          <w:rFonts w:cstheme="minorHAnsi"/>
        </w:rPr>
      </w:pPr>
      <w:r w:rsidRPr="001B30E9">
        <w:rPr>
          <w:rFonts w:cstheme="minorHAnsi"/>
        </w:rPr>
        <w:t xml:space="preserve">Zaproponowane obszary tematyczne są jedynie poglądowe, nie eliminują możliwości wyboru przez studentów również innych tematów. </w:t>
      </w:r>
    </w:p>
    <w:p w:rsidR="007118D8" w:rsidRPr="007118D8" w:rsidRDefault="007118D8" w:rsidP="007118D8">
      <w:pPr>
        <w:spacing w:after="0" w:line="360" w:lineRule="auto"/>
        <w:jc w:val="both"/>
        <w:rPr>
          <w:rFonts w:cstheme="minorHAnsi"/>
        </w:rPr>
      </w:pPr>
    </w:p>
    <w:p w:rsidR="006C3EFD" w:rsidRDefault="006C3EFD" w:rsidP="009441E0">
      <w:pPr>
        <w:shd w:val="clear" w:color="auto" w:fill="FFFFFF"/>
        <w:spacing w:before="100" w:beforeAutospacing="1" w:after="240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6C3EFD" w:rsidRDefault="006C3EFD" w:rsidP="009441E0">
      <w:pPr>
        <w:shd w:val="clear" w:color="auto" w:fill="FFFFFF"/>
        <w:spacing w:before="100" w:beforeAutospacing="1" w:after="240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6C3EFD" w:rsidRDefault="006C3EFD" w:rsidP="009441E0">
      <w:pPr>
        <w:shd w:val="clear" w:color="auto" w:fill="FFFFFF"/>
        <w:spacing w:before="100" w:beforeAutospacing="1" w:after="240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6C3EFD" w:rsidRDefault="006C3EFD" w:rsidP="009441E0">
      <w:pPr>
        <w:shd w:val="clear" w:color="auto" w:fill="FFFFFF"/>
        <w:spacing w:before="100" w:beforeAutospacing="1" w:after="240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030A2C" w:rsidRPr="009441E0" w:rsidRDefault="00BD70B0" w:rsidP="009441E0">
      <w:pPr>
        <w:shd w:val="clear" w:color="auto" w:fill="FFFFFF"/>
        <w:spacing w:before="100" w:beforeAutospacing="1" w:after="240"/>
        <w:textAlignment w:val="top"/>
        <w:rPr>
          <w:rFonts w:ascii="Calibri" w:eastAsia="Times New Roman" w:hAnsi="Calibri" w:cs="Arial"/>
          <w:lang w:eastAsia="pl-PL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lastRenderedPageBreak/>
        <w:t>d</w:t>
      </w:r>
      <w:r w:rsidR="00940117">
        <w:rPr>
          <w:rFonts w:ascii="Calibri,Bold" w:hAnsi="Calibri,Bold" w:cs="Calibri,Bold"/>
          <w:b/>
          <w:bCs/>
          <w:sz w:val="28"/>
          <w:szCs w:val="28"/>
          <w:u w:val="single"/>
        </w:rPr>
        <w:t>r SŁAWOMIR WYCIŚLAK</w:t>
      </w:r>
    </w:p>
    <w:p w:rsidR="00030A2C" w:rsidRPr="00030A2C" w:rsidRDefault="00030A2C" w:rsidP="00030A2C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441E0" w:rsidRPr="00030A2C" w:rsidRDefault="009441E0" w:rsidP="009441E0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Metody i techniki optymalizacji w </w:t>
      </w:r>
      <w:r>
        <w:rPr>
          <w:rFonts w:cs="Arial"/>
          <w:color w:val="000000"/>
        </w:rPr>
        <w:t xml:space="preserve">ekonomii i </w:t>
      </w:r>
      <w:r w:rsidRPr="00030A2C">
        <w:rPr>
          <w:rFonts w:cs="Arial"/>
          <w:color w:val="000000"/>
        </w:rPr>
        <w:t xml:space="preserve">zarządzaniu </w:t>
      </w:r>
    </w:p>
    <w:p w:rsidR="009441E0" w:rsidRPr="00030A2C" w:rsidRDefault="009441E0" w:rsidP="009441E0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Uwarunkowania działalności przedsiębiorstw na rynkach międzynarodowych (przesłanki, strategie, modele) </w:t>
      </w:r>
    </w:p>
    <w:p w:rsidR="009441E0" w:rsidRPr="00030A2C" w:rsidRDefault="009441E0" w:rsidP="009441E0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Logistyka międzynarodowa (obsługa zamówień, zarządzanie zapasami, magazyn, opakowanie, transport, sieci logistyczne, centra logistyczne) </w:t>
      </w:r>
    </w:p>
    <w:p w:rsidR="009441E0" w:rsidRPr="00030A2C" w:rsidRDefault="009441E0" w:rsidP="009441E0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Zarządzanie finansami w działalności przedsiębiorstw na rynkach międzynarodowych (źródła finansowania, unikanie opodatkowania, zarządzanie ryzykiem) </w:t>
      </w:r>
    </w:p>
    <w:p w:rsidR="009441E0" w:rsidRPr="00030A2C" w:rsidRDefault="009441E0" w:rsidP="009441E0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30A2C">
        <w:rPr>
          <w:rFonts w:cs="Arial"/>
          <w:color w:val="000000"/>
        </w:rPr>
        <w:t>Marketing w działalności przedsiębiorstw na rynkach międzynarodowych (standaryzacja i adaptacja, produkt, kanały dystrybucji, promocja międzynarodowa, ceny w marketingu międzynarodowym, efekt kraju pochodzenia</w:t>
      </w:r>
      <w:r w:rsidRPr="00030A2C">
        <w:rPr>
          <w:rFonts w:cs="Arial"/>
          <w:b/>
          <w:bCs/>
          <w:color w:val="000000"/>
        </w:rPr>
        <w:t xml:space="preserve">) </w:t>
      </w:r>
    </w:p>
    <w:p w:rsidR="009441E0" w:rsidRPr="00030A2C" w:rsidRDefault="009441E0" w:rsidP="009441E0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Zarządzanie zasobami ludzkimi działalności przedsiębiorstw na rynkach międzynarodowych (pozyskiwanie personelu, wynagradzanie, różnice kulturowe) </w:t>
      </w:r>
    </w:p>
    <w:p w:rsidR="009441E0" w:rsidRDefault="009441E0" w:rsidP="009441E0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MSP na rynku międzynarodowym </w:t>
      </w:r>
    </w:p>
    <w:p w:rsidR="009441E0" w:rsidRDefault="009441E0" w:rsidP="009441E0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Technologie cyfrowe w działalności przedsiębiorstwa (sensory, drony, roboty, smartfony etc.)</w:t>
      </w:r>
    </w:p>
    <w:p w:rsidR="009441E0" w:rsidRDefault="009441E0" w:rsidP="009441E0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>Modele adaptacji przedsiębiorstw w warunkach digitalizacji  (platformy, ekosystemy)</w:t>
      </w:r>
    </w:p>
    <w:p w:rsidR="009441E0" w:rsidRDefault="009441E0" w:rsidP="009441E0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Implikacje sztucznej inteligencji dla ekonomii i zarządzania </w:t>
      </w:r>
    </w:p>
    <w:p w:rsidR="009441E0" w:rsidRDefault="009441E0" w:rsidP="009441E0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Praktyki szczupłe i zwinne w działalności przedsiębiorstw </w:t>
      </w:r>
    </w:p>
    <w:p w:rsidR="009441E0" w:rsidRPr="00BA677C" w:rsidRDefault="009441E0" w:rsidP="009441E0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Gospodarka zamknięta (ang. </w:t>
      </w:r>
      <w:proofErr w:type="spellStart"/>
      <w:r>
        <w:rPr>
          <w:rFonts w:cs="Arial"/>
          <w:color w:val="000000"/>
        </w:rPr>
        <w:t>circular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economy</w:t>
      </w:r>
      <w:proofErr w:type="spellEnd"/>
      <w:r>
        <w:rPr>
          <w:rFonts w:cs="Arial"/>
          <w:color w:val="000000"/>
        </w:rPr>
        <w:t xml:space="preserve">) </w:t>
      </w:r>
    </w:p>
    <w:p w:rsidR="009441E0" w:rsidRPr="00030A2C" w:rsidRDefault="009441E0" w:rsidP="009441E0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30A2C">
        <w:rPr>
          <w:rFonts w:cs="Arial"/>
          <w:color w:val="000000"/>
        </w:rPr>
        <w:t>Czynniki kulturowe w biznesie międzynarodowym: Japonia, USA, Niemcy, Wielka Brytania</w:t>
      </w:r>
      <w:r>
        <w:rPr>
          <w:rFonts w:cs="Arial"/>
          <w:color w:val="000000"/>
        </w:rPr>
        <w:t xml:space="preserve">, Chiny, Indie. </w:t>
      </w:r>
    </w:p>
    <w:p w:rsidR="009441E0" w:rsidRPr="00030A2C" w:rsidRDefault="009441E0" w:rsidP="009441E0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Kreatywność w organizacji </w:t>
      </w:r>
    </w:p>
    <w:p w:rsidR="009441E0" w:rsidRPr="00030A2C" w:rsidRDefault="009441E0" w:rsidP="009441E0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Zjawiska kryzysowe w globalnej gospodarce (przyczyny, przebieg, konsekwencje) </w:t>
      </w:r>
    </w:p>
    <w:p w:rsidR="009441E0" w:rsidRDefault="009441E0" w:rsidP="009441E0">
      <w:pPr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030A2C">
        <w:rPr>
          <w:rFonts w:cs="Arial"/>
          <w:color w:val="000000"/>
        </w:rPr>
        <w:t>Kryzys 2008+.</w:t>
      </w:r>
    </w:p>
    <w:p w:rsidR="00895AC5" w:rsidRDefault="00895AC5" w:rsidP="00895AC5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895AC5" w:rsidRDefault="00895AC5" w:rsidP="00895AC5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BD70B0" w:rsidRDefault="00BD70B0" w:rsidP="00BD70B0">
      <w:pPr>
        <w:shd w:val="clear" w:color="auto" w:fill="FFFFFF"/>
        <w:spacing w:before="100" w:beforeAutospacing="1" w:after="240"/>
        <w:textAlignment w:val="top"/>
        <w:rPr>
          <w:rFonts w:cs="Arial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dr ANNA SŁAWIK</w:t>
      </w:r>
    </w:p>
    <w:p w:rsidR="00BD70B0" w:rsidRPr="004A718D" w:rsidRDefault="00BD70B0" w:rsidP="00BD70B0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A718D">
        <w:rPr>
          <w:rFonts w:asciiTheme="minorHAnsi" w:hAnsiTheme="minorHAnsi"/>
          <w:sz w:val="22"/>
          <w:szCs w:val="22"/>
        </w:rPr>
        <w:t>Analiza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ekonomiczna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przedsiębiorstwa</w:t>
      </w:r>
      <w:proofErr w:type="spellEnd"/>
      <w:r w:rsidRPr="004A718D">
        <w:rPr>
          <w:rFonts w:asciiTheme="minorHAnsi" w:hAnsiTheme="minorHAnsi"/>
          <w:sz w:val="22"/>
          <w:szCs w:val="22"/>
        </w:rPr>
        <w:t>.</w:t>
      </w:r>
    </w:p>
    <w:p w:rsidR="00BD70B0" w:rsidRPr="004A718D" w:rsidRDefault="00BD70B0" w:rsidP="00BD70B0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A718D">
        <w:rPr>
          <w:rFonts w:asciiTheme="minorHAnsi" w:hAnsiTheme="minorHAnsi"/>
          <w:sz w:val="22"/>
          <w:szCs w:val="22"/>
        </w:rPr>
        <w:t>Zarządzanie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interesariuszami</w:t>
      </w:r>
      <w:proofErr w:type="spellEnd"/>
      <w:r w:rsidRPr="004A718D">
        <w:rPr>
          <w:rFonts w:asciiTheme="minorHAnsi" w:hAnsiTheme="minorHAnsi"/>
          <w:sz w:val="22"/>
          <w:szCs w:val="22"/>
        </w:rPr>
        <w:t>.</w:t>
      </w:r>
    </w:p>
    <w:p w:rsidR="00BD70B0" w:rsidRPr="004A718D" w:rsidRDefault="00BD70B0" w:rsidP="00BD70B0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4A718D">
        <w:rPr>
          <w:rFonts w:asciiTheme="minorHAnsi" w:hAnsiTheme="minorHAnsi"/>
          <w:sz w:val="22"/>
          <w:szCs w:val="22"/>
          <w:lang w:val="pl-PL"/>
        </w:rPr>
        <w:t>Marketing wartości / inżynieria wartości dla klienta / zarządzanie relacjami z klientem / zarządzanie doświadczeniem klienta.</w:t>
      </w:r>
    </w:p>
    <w:p w:rsidR="00BD70B0" w:rsidRPr="004A718D" w:rsidRDefault="00BD70B0" w:rsidP="00BD70B0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A718D">
        <w:rPr>
          <w:rFonts w:asciiTheme="minorHAnsi" w:hAnsiTheme="minorHAnsi"/>
          <w:sz w:val="22"/>
          <w:szCs w:val="22"/>
        </w:rPr>
        <w:t>Systemy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i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narzędzia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controllingu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. </w:t>
      </w:r>
    </w:p>
    <w:p w:rsidR="00BD70B0" w:rsidRPr="004A718D" w:rsidRDefault="00BD70B0" w:rsidP="00BD70B0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4A718D">
        <w:rPr>
          <w:rFonts w:asciiTheme="minorHAnsi" w:hAnsiTheme="minorHAnsi"/>
          <w:sz w:val="22"/>
          <w:szCs w:val="22"/>
          <w:lang w:val="pl-PL"/>
        </w:rPr>
        <w:t>Rozwiązania z zakresu rachunkowości zarządczej.</w:t>
      </w:r>
    </w:p>
    <w:p w:rsidR="00BD70B0" w:rsidRPr="004A718D" w:rsidRDefault="00BD70B0" w:rsidP="00BD70B0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4A718D">
        <w:rPr>
          <w:rFonts w:asciiTheme="minorHAnsi" w:hAnsiTheme="minorHAnsi"/>
          <w:sz w:val="22"/>
          <w:szCs w:val="22"/>
        </w:rPr>
        <w:t>Lean Management.</w:t>
      </w:r>
    </w:p>
    <w:p w:rsidR="00BD70B0" w:rsidRPr="004A718D" w:rsidRDefault="00BD70B0" w:rsidP="00BD70B0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4A718D">
        <w:rPr>
          <w:rFonts w:asciiTheme="minorHAnsi" w:hAnsiTheme="minorHAnsi"/>
          <w:sz w:val="22"/>
          <w:szCs w:val="22"/>
          <w:lang w:val="pl-PL"/>
        </w:rPr>
        <w:t>Komunikacja korporacyjna. Komunikacja w zarządzaniu zmianą.</w:t>
      </w:r>
    </w:p>
    <w:p w:rsidR="00BD70B0" w:rsidRDefault="00BD70B0" w:rsidP="00BD70B0">
      <w:pPr>
        <w:pStyle w:val="Akapitzlist"/>
        <w:numPr>
          <w:ilvl w:val="0"/>
          <w:numId w:val="35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A718D">
        <w:rPr>
          <w:rFonts w:asciiTheme="minorHAnsi" w:hAnsiTheme="minorHAnsi"/>
          <w:sz w:val="22"/>
          <w:szCs w:val="22"/>
        </w:rPr>
        <w:t>Raportowanie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danych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pozafinansowych</w:t>
      </w:r>
      <w:proofErr w:type="spellEnd"/>
      <w:r w:rsidRPr="004A718D">
        <w:rPr>
          <w:rFonts w:asciiTheme="minorHAnsi" w:hAnsiTheme="minorHAnsi"/>
          <w:sz w:val="22"/>
          <w:szCs w:val="22"/>
        </w:rPr>
        <w:t>.</w:t>
      </w:r>
    </w:p>
    <w:p w:rsidR="0062522F" w:rsidRDefault="0062522F" w:rsidP="0062522F">
      <w:pPr>
        <w:spacing w:after="160" w:line="360" w:lineRule="auto"/>
        <w:jc w:val="both"/>
      </w:pPr>
    </w:p>
    <w:p w:rsidR="0062522F" w:rsidRDefault="0062522F" w:rsidP="0062522F">
      <w:pPr>
        <w:shd w:val="clear" w:color="auto" w:fill="FFFFFF"/>
        <w:spacing w:before="100" w:beforeAutospacing="1" w:after="240"/>
        <w:textAlignment w:val="top"/>
        <w:rPr>
          <w:rFonts w:ascii="Calibri" w:eastAsia="Times New Roman" w:hAnsi="Calibri" w:cs="Arial"/>
          <w:lang w:eastAsia="pl-PL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dr MAŁGORZATA KUTERA</w:t>
      </w:r>
      <w:r>
        <w:rPr>
          <w:rFonts w:ascii="Calibri" w:eastAsia="Times New Roman" w:hAnsi="Calibri" w:cs="Arial"/>
          <w:lang w:eastAsia="pl-PL"/>
        </w:rPr>
        <w:br/>
      </w:r>
    </w:p>
    <w:p w:rsidR="0062522F" w:rsidRDefault="0062522F" w:rsidP="0062522F">
      <w:pPr>
        <w:shd w:val="clear" w:color="auto" w:fill="FFFFFF"/>
        <w:spacing w:before="100" w:beforeAutospacing="1" w:after="24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1B1625">
        <w:rPr>
          <w:rFonts w:ascii="Calibri" w:eastAsia="Times New Roman" w:hAnsi="Calibri" w:cs="Arial"/>
          <w:lang w:eastAsia="pl-PL"/>
        </w:rPr>
        <w:t xml:space="preserve">1.    Kreatywna rachunkowość, metody „upiększania” sytuacji majątkowo-finansowej oraz wyniku </w:t>
      </w:r>
      <w:r>
        <w:rPr>
          <w:rFonts w:ascii="Calibri" w:eastAsia="Times New Roman" w:hAnsi="Calibri" w:cs="Arial"/>
          <w:lang w:eastAsia="pl-PL"/>
        </w:rPr>
        <w:br/>
        <w:t xml:space="preserve">       </w:t>
      </w:r>
      <w:r w:rsidRPr="001B1625">
        <w:rPr>
          <w:rFonts w:ascii="Calibri" w:eastAsia="Times New Roman" w:hAnsi="Calibri" w:cs="Arial"/>
          <w:lang w:eastAsia="pl-PL"/>
        </w:rPr>
        <w:t>finansowego spółek</w:t>
      </w:r>
      <w:r w:rsidRPr="001B1625">
        <w:rPr>
          <w:rFonts w:ascii="Calibri" w:eastAsia="Times New Roman" w:hAnsi="Calibri" w:cs="Arial"/>
          <w:lang w:eastAsia="pl-PL"/>
        </w:rPr>
        <w:br/>
      </w:r>
      <w:r w:rsidRPr="001B1625">
        <w:rPr>
          <w:rFonts w:ascii="Calibri" w:eastAsia="Times New Roman" w:hAnsi="Calibri" w:cs="Arial"/>
          <w:lang w:eastAsia="pl-PL"/>
        </w:rPr>
        <w:lastRenderedPageBreak/>
        <w:t>2.    Istota oszustw księgowych oraz przestępstw gospodarczych w praktyce  </w:t>
      </w:r>
      <w:r w:rsidRPr="001B1625">
        <w:rPr>
          <w:rFonts w:ascii="Calibri" w:eastAsia="Times New Roman" w:hAnsi="Calibri" w:cs="Arial"/>
          <w:lang w:eastAsia="pl-PL"/>
        </w:rPr>
        <w:br/>
        <w:t>3.    Słynne upadki wielkich korporacji – praktyczne aspekty bankructwa</w:t>
      </w:r>
      <w:r w:rsidRPr="001B1625">
        <w:rPr>
          <w:rFonts w:ascii="Calibri" w:eastAsia="Times New Roman" w:hAnsi="Calibri" w:cs="Arial"/>
          <w:lang w:eastAsia="pl-PL"/>
        </w:rPr>
        <w:br/>
        <w:t>4.    Modele przewidywania bankructwa spółki – „systemy wczesnego ostrzegania”</w:t>
      </w:r>
      <w:r w:rsidRPr="001B1625">
        <w:rPr>
          <w:rFonts w:ascii="Calibri" w:eastAsia="Times New Roman" w:hAnsi="Calibri" w:cs="Arial"/>
          <w:lang w:eastAsia="pl-PL"/>
        </w:rPr>
        <w:br/>
        <w:t>5.    Kryzysy gospodarcze i finansowe</w:t>
      </w:r>
      <w:r w:rsidRPr="001B1625">
        <w:rPr>
          <w:rFonts w:ascii="Calibri" w:eastAsia="Times New Roman" w:hAnsi="Calibri" w:cs="Arial"/>
          <w:lang w:eastAsia="pl-PL"/>
        </w:rPr>
        <w:br/>
        <w:t>6.    Analiza ekonomiczna wybranych przedsiębiorstw (porównania branżowe, krajowe, międzynarodowe)</w:t>
      </w:r>
      <w:r w:rsidRPr="001B1625">
        <w:rPr>
          <w:rFonts w:ascii="Calibri" w:eastAsia="Times New Roman" w:hAnsi="Calibri" w:cs="Arial"/>
          <w:lang w:eastAsia="pl-PL"/>
        </w:rPr>
        <w:br/>
      </w:r>
      <w:r>
        <w:rPr>
          <w:rFonts w:ascii="Calibri" w:eastAsia="Times New Roman" w:hAnsi="Calibri" w:cs="Arial"/>
          <w:lang w:eastAsia="pl-PL"/>
        </w:rPr>
        <w:t>7</w:t>
      </w:r>
      <w:r w:rsidRPr="001B1625">
        <w:rPr>
          <w:rFonts w:ascii="Calibri" w:eastAsia="Times New Roman" w:hAnsi="Calibri" w:cs="Arial"/>
          <w:lang w:eastAsia="pl-PL"/>
        </w:rPr>
        <w:t>.    Analiza wypłacalności i poziomu zadłużenia przedsiębiorstw</w:t>
      </w:r>
      <w:r w:rsidRPr="001B1625">
        <w:rPr>
          <w:rFonts w:ascii="Calibri" w:eastAsia="Times New Roman" w:hAnsi="Calibri" w:cs="Arial"/>
          <w:lang w:eastAsia="pl-PL"/>
        </w:rPr>
        <w:br/>
      </w:r>
      <w:r>
        <w:rPr>
          <w:rFonts w:ascii="Calibri" w:eastAsia="Times New Roman" w:hAnsi="Calibri" w:cs="Arial"/>
          <w:lang w:eastAsia="pl-PL"/>
        </w:rPr>
        <w:t>8</w:t>
      </w:r>
      <w:r w:rsidRPr="001B1625">
        <w:rPr>
          <w:rFonts w:ascii="Calibri" w:eastAsia="Times New Roman" w:hAnsi="Calibri" w:cs="Arial"/>
          <w:lang w:eastAsia="pl-PL"/>
        </w:rPr>
        <w:t>.    Sprawozdawczość finansowa przedsiębiorstw w ujęciu krajowym oraz międzynarodowym</w:t>
      </w:r>
      <w:r w:rsidRPr="001B1625">
        <w:rPr>
          <w:rFonts w:ascii="Calibri" w:eastAsia="Times New Roman" w:hAnsi="Calibri" w:cs="Arial"/>
          <w:lang w:eastAsia="pl-PL"/>
        </w:rPr>
        <w:br/>
      </w:r>
      <w:r>
        <w:rPr>
          <w:rFonts w:ascii="Calibri" w:eastAsia="Times New Roman" w:hAnsi="Calibri" w:cs="Arial"/>
          <w:lang w:eastAsia="pl-PL"/>
        </w:rPr>
        <w:t>9</w:t>
      </w:r>
      <w:r w:rsidRPr="001B1625">
        <w:rPr>
          <w:rFonts w:ascii="Calibri" w:eastAsia="Times New Roman" w:hAnsi="Calibri" w:cs="Arial"/>
          <w:lang w:eastAsia="pl-PL"/>
        </w:rPr>
        <w:t xml:space="preserve">.    Analiza bilansu, rachunku zysków i strat, </w:t>
      </w:r>
      <w:proofErr w:type="spellStart"/>
      <w:r w:rsidRPr="001B1625">
        <w:rPr>
          <w:rFonts w:ascii="Calibri" w:eastAsia="Times New Roman" w:hAnsi="Calibri" w:cs="Arial"/>
          <w:lang w:eastAsia="pl-PL"/>
        </w:rPr>
        <w:t>cash</w:t>
      </w:r>
      <w:proofErr w:type="spellEnd"/>
      <w:r w:rsidRPr="001B1625">
        <w:rPr>
          <w:rFonts w:ascii="Calibri" w:eastAsia="Times New Roman" w:hAnsi="Calibri" w:cs="Arial"/>
          <w:lang w:eastAsia="pl-PL"/>
        </w:rPr>
        <w:t xml:space="preserve"> </w:t>
      </w:r>
      <w:proofErr w:type="spellStart"/>
      <w:r w:rsidRPr="001B1625">
        <w:rPr>
          <w:rFonts w:ascii="Calibri" w:eastAsia="Times New Roman" w:hAnsi="Calibri" w:cs="Arial"/>
          <w:lang w:eastAsia="pl-PL"/>
        </w:rPr>
        <w:t>flow</w:t>
      </w:r>
      <w:proofErr w:type="spellEnd"/>
      <w:r w:rsidRPr="001B1625">
        <w:rPr>
          <w:rFonts w:ascii="Calibri" w:eastAsia="Times New Roman" w:hAnsi="Calibri" w:cs="Arial"/>
          <w:lang w:eastAsia="pl-PL"/>
        </w:rPr>
        <w:br/>
        <w:t>1</w:t>
      </w:r>
      <w:r>
        <w:rPr>
          <w:rFonts w:ascii="Calibri" w:eastAsia="Times New Roman" w:hAnsi="Calibri" w:cs="Arial"/>
          <w:lang w:eastAsia="pl-PL"/>
        </w:rPr>
        <w:t>0</w:t>
      </w:r>
      <w:r w:rsidRPr="001B1625">
        <w:rPr>
          <w:rFonts w:ascii="Calibri" w:eastAsia="Times New Roman" w:hAnsi="Calibri" w:cs="Arial"/>
          <w:lang w:eastAsia="pl-PL"/>
        </w:rPr>
        <w:t>.    Audyt finansowy, rewizja finansowa, działalność biegłych rewidentów</w:t>
      </w:r>
      <w:r w:rsidRPr="001B1625">
        <w:rPr>
          <w:rFonts w:ascii="Calibri" w:eastAsia="Times New Roman" w:hAnsi="Calibri" w:cs="Arial"/>
          <w:lang w:eastAsia="pl-PL"/>
        </w:rPr>
        <w:br/>
        <w:t>1</w:t>
      </w:r>
      <w:r>
        <w:rPr>
          <w:rFonts w:ascii="Calibri" w:eastAsia="Times New Roman" w:hAnsi="Calibri" w:cs="Arial"/>
          <w:lang w:eastAsia="pl-PL"/>
        </w:rPr>
        <w:t>1</w:t>
      </w:r>
      <w:r w:rsidRPr="001B1625">
        <w:rPr>
          <w:rFonts w:ascii="Calibri" w:eastAsia="Times New Roman" w:hAnsi="Calibri" w:cs="Arial"/>
          <w:lang w:eastAsia="pl-PL"/>
        </w:rPr>
        <w:t>.    Metody badania rocznych sprawozdań finansowych</w:t>
      </w:r>
      <w:r w:rsidRPr="001B1625">
        <w:rPr>
          <w:rFonts w:ascii="Calibri" w:eastAsia="Times New Roman" w:hAnsi="Calibri" w:cs="Arial"/>
          <w:lang w:eastAsia="pl-PL"/>
        </w:rPr>
        <w:br/>
        <w:t>1</w:t>
      </w:r>
      <w:r>
        <w:rPr>
          <w:rFonts w:ascii="Calibri" w:eastAsia="Times New Roman" w:hAnsi="Calibri" w:cs="Arial"/>
          <w:lang w:eastAsia="pl-PL"/>
        </w:rPr>
        <w:t>2</w:t>
      </w:r>
      <w:r w:rsidRPr="001B1625">
        <w:rPr>
          <w:rFonts w:ascii="Calibri" w:eastAsia="Times New Roman" w:hAnsi="Calibri" w:cs="Arial"/>
          <w:lang w:eastAsia="pl-PL"/>
        </w:rPr>
        <w:t>.    Audyt wewnętrzny oraz kontrola wewnętrzna w sektorze publicznym i prywatnym</w:t>
      </w:r>
      <w:r w:rsidRPr="001B1625">
        <w:rPr>
          <w:rFonts w:ascii="Calibri" w:eastAsia="Times New Roman" w:hAnsi="Calibri" w:cs="Arial"/>
          <w:lang w:eastAsia="pl-PL"/>
        </w:rPr>
        <w:br/>
        <w:t>1</w:t>
      </w:r>
      <w:r>
        <w:rPr>
          <w:rFonts w:ascii="Calibri" w:eastAsia="Times New Roman" w:hAnsi="Calibri" w:cs="Arial"/>
          <w:lang w:eastAsia="pl-PL"/>
        </w:rPr>
        <w:t>3</w:t>
      </w:r>
      <w:r w:rsidRPr="001B1625">
        <w:rPr>
          <w:rFonts w:ascii="Calibri" w:eastAsia="Times New Roman" w:hAnsi="Calibri" w:cs="Arial"/>
          <w:lang w:eastAsia="pl-PL"/>
        </w:rPr>
        <w:t>.    Metody wyceny i prezentacji w sprawozdaniach składników majątkowych spółek</w:t>
      </w:r>
      <w:r w:rsidRPr="001B1625">
        <w:rPr>
          <w:rFonts w:ascii="Calibri" w:eastAsia="Times New Roman" w:hAnsi="Calibri" w:cs="Arial"/>
          <w:lang w:eastAsia="pl-PL"/>
        </w:rPr>
        <w:br/>
        <w:t>1</w:t>
      </w:r>
      <w:r>
        <w:rPr>
          <w:rFonts w:ascii="Calibri" w:eastAsia="Times New Roman" w:hAnsi="Calibri" w:cs="Arial"/>
          <w:lang w:eastAsia="pl-PL"/>
        </w:rPr>
        <w:t>4</w:t>
      </w:r>
      <w:r w:rsidRPr="001B1625">
        <w:rPr>
          <w:rFonts w:ascii="Calibri" w:eastAsia="Times New Roman" w:hAnsi="Calibri" w:cs="Arial"/>
          <w:lang w:eastAsia="pl-PL"/>
        </w:rPr>
        <w:t>.    Źródła finansowania działalności gospodarczej</w:t>
      </w:r>
      <w:r w:rsidRPr="001B1625">
        <w:rPr>
          <w:rFonts w:ascii="Calibri" w:eastAsia="Times New Roman" w:hAnsi="Calibri" w:cs="Arial"/>
          <w:lang w:eastAsia="pl-PL"/>
        </w:rPr>
        <w:br/>
        <w:t>1</w:t>
      </w:r>
      <w:r>
        <w:rPr>
          <w:rFonts w:ascii="Calibri" w:eastAsia="Times New Roman" w:hAnsi="Calibri" w:cs="Arial"/>
          <w:lang w:eastAsia="pl-PL"/>
        </w:rPr>
        <w:t>5</w:t>
      </w:r>
      <w:r w:rsidRPr="001B1625">
        <w:rPr>
          <w:rFonts w:ascii="Calibri" w:eastAsia="Times New Roman" w:hAnsi="Calibri" w:cs="Arial"/>
          <w:lang w:eastAsia="pl-PL"/>
        </w:rPr>
        <w:t>.    Działalność grup kapitałowych, struktury międzynarodowe – aspekty finansowe</w:t>
      </w:r>
      <w:r w:rsidRPr="001B1625">
        <w:rPr>
          <w:rFonts w:ascii="Calibri" w:eastAsia="Times New Roman" w:hAnsi="Calibri" w:cs="Arial"/>
          <w:lang w:eastAsia="pl-PL"/>
        </w:rPr>
        <w:br/>
        <w:t>1</w:t>
      </w:r>
      <w:r>
        <w:rPr>
          <w:rFonts w:ascii="Calibri" w:eastAsia="Times New Roman" w:hAnsi="Calibri" w:cs="Arial"/>
          <w:lang w:eastAsia="pl-PL"/>
        </w:rPr>
        <w:t>6</w:t>
      </w:r>
      <w:r w:rsidRPr="001B1625">
        <w:rPr>
          <w:rFonts w:ascii="Calibri" w:eastAsia="Times New Roman" w:hAnsi="Calibri" w:cs="Arial"/>
          <w:lang w:eastAsia="pl-PL"/>
        </w:rPr>
        <w:t>.    System podatkowy w Polsce na tle rozwiązań światowych</w:t>
      </w:r>
      <w:r w:rsidRPr="001B1625">
        <w:rPr>
          <w:rFonts w:ascii="Calibri" w:eastAsia="Times New Roman" w:hAnsi="Calibri" w:cs="Arial"/>
          <w:lang w:eastAsia="pl-PL"/>
        </w:rPr>
        <w:br/>
        <w:t>1</w:t>
      </w:r>
      <w:r>
        <w:rPr>
          <w:rFonts w:ascii="Calibri" w:eastAsia="Times New Roman" w:hAnsi="Calibri" w:cs="Arial"/>
          <w:lang w:eastAsia="pl-PL"/>
        </w:rPr>
        <w:t>7</w:t>
      </w:r>
      <w:r w:rsidRPr="001B1625">
        <w:rPr>
          <w:rFonts w:ascii="Calibri" w:eastAsia="Times New Roman" w:hAnsi="Calibri" w:cs="Arial"/>
          <w:lang w:eastAsia="pl-PL"/>
        </w:rPr>
        <w:t>.    Zagadnienia optymalizacji podatkowej, działalność rajów podatkowych</w:t>
      </w:r>
      <w:r w:rsidRPr="001B1625">
        <w:rPr>
          <w:rFonts w:ascii="Calibri" w:eastAsia="Times New Roman" w:hAnsi="Calibri" w:cs="Arial"/>
          <w:lang w:eastAsia="pl-PL"/>
        </w:rPr>
        <w:br/>
        <w:t>1</w:t>
      </w:r>
      <w:r>
        <w:rPr>
          <w:rFonts w:ascii="Calibri" w:eastAsia="Times New Roman" w:hAnsi="Calibri" w:cs="Arial"/>
          <w:lang w:eastAsia="pl-PL"/>
        </w:rPr>
        <w:t>8</w:t>
      </w:r>
      <w:r w:rsidRPr="001B1625">
        <w:rPr>
          <w:rFonts w:ascii="Calibri" w:eastAsia="Times New Roman" w:hAnsi="Calibri" w:cs="Arial"/>
          <w:lang w:eastAsia="pl-PL"/>
        </w:rPr>
        <w:t xml:space="preserve">.    </w:t>
      </w:r>
      <w:r>
        <w:rPr>
          <w:rFonts w:ascii="Calibri" w:eastAsia="Times New Roman" w:hAnsi="Calibri" w:cs="Arial"/>
          <w:lang w:eastAsia="pl-PL"/>
        </w:rPr>
        <w:t xml:space="preserve">Raportowanie zintegrowane przedsiębiorstw </w:t>
      </w:r>
      <w:r w:rsidRPr="001B1625">
        <w:rPr>
          <w:rFonts w:ascii="Calibri" w:eastAsia="Times New Roman" w:hAnsi="Calibri" w:cs="Arial"/>
          <w:lang w:eastAsia="pl-PL"/>
        </w:rPr>
        <w:br/>
      </w:r>
      <w:r>
        <w:rPr>
          <w:rFonts w:ascii="Calibri" w:eastAsia="Times New Roman" w:hAnsi="Calibri" w:cs="Arial"/>
          <w:lang w:eastAsia="pl-PL"/>
        </w:rPr>
        <w:t>19</w:t>
      </w:r>
      <w:r w:rsidRPr="001B1625">
        <w:rPr>
          <w:rFonts w:ascii="Calibri" w:eastAsia="Times New Roman" w:hAnsi="Calibri" w:cs="Arial"/>
          <w:lang w:eastAsia="pl-PL"/>
        </w:rPr>
        <w:t>.    Zróżnicowane aspekty zarządzania finansami w ujęcia mikroekonomicznym</w:t>
      </w:r>
    </w:p>
    <w:p w:rsidR="0062522F" w:rsidRDefault="0062522F" w:rsidP="0062522F">
      <w:pPr>
        <w:spacing w:after="160" w:line="360" w:lineRule="auto"/>
        <w:jc w:val="both"/>
      </w:pPr>
    </w:p>
    <w:p w:rsidR="00483042" w:rsidRDefault="00483042" w:rsidP="00483042">
      <w:pPr>
        <w:shd w:val="clear" w:color="auto" w:fill="FFFFFF"/>
        <w:spacing w:before="100" w:beforeAutospacing="1" w:after="240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  <w:r>
        <w:rPr>
          <w:rFonts w:ascii="Calibri,Bold" w:hAnsi="Calibri,Bold" w:cs="Calibri,Bold"/>
          <w:b/>
          <w:bCs/>
          <w:sz w:val="28"/>
          <w:szCs w:val="28"/>
          <w:u w:val="single"/>
        </w:rPr>
        <w:t>dr MAREK JARZĘBIŃSKI</w:t>
      </w:r>
    </w:p>
    <w:p w:rsidR="00483042" w:rsidRPr="00895AC5" w:rsidRDefault="00483042" w:rsidP="00483042">
      <w:pPr>
        <w:spacing w:line="360" w:lineRule="auto"/>
        <w:jc w:val="both"/>
      </w:pPr>
      <w:r w:rsidRPr="00895AC5">
        <w:t xml:space="preserve">Wybrany zakres zagadnień z ekonomii, dotyczący funkcjonowania przedsiębiorstw prowadzących działalność w dziedzinie usług, formułowanych na bazie dyscyplin naukowych stanowiących część ekonomii stosowanej (ekonomika jakości,  ekonomika norm, ekonomika przedsiębiorstw, ekonomika turystyki i rekreacji, ekonomika handlu międzynarodowego, ekonomika ochrony środowiska). </w:t>
      </w:r>
    </w:p>
    <w:p w:rsidR="00483042" w:rsidRPr="00895AC5" w:rsidRDefault="00483042" w:rsidP="00483042">
      <w:pPr>
        <w:spacing w:line="360" w:lineRule="auto"/>
        <w:jc w:val="both"/>
        <w:rPr>
          <w:b/>
        </w:rPr>
      </w:pPr>
      <w:r w:rsidRPr="00895AC5">
        <w:rPr>
          <w:b/>
        </w:rPr>
        <w:t xml:space="preserve">Szczegółowy zakres tematyczny seminarium: </w:t>
      </w:r>
    </w:p>
    <w:p w:rsidR="00483042" w:rsidRPr="00895AC5" w:rsidRDefault="00483042" w:rsidP="00483042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>Rola i znaczenie działalności przedsiębiorstw usługowych dla rozwoju gospodarki narodowej.</w:t>
      </w:r>
    </w:p>
    <w:p w:rsidR="00483042" w:rsidRPr="00895AC5" w:rsidRDefault="00483042" w:rsidP="00483042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>Innowacyjność a rozwój małych i średnich przedsiębiorstw usługowych.</w:t>
      </w:r>
    </w:p>
    <w:p w:rsidR="00483042" w:rsidRPr="00895AC5" w:rsidRDefault="00483042" w:rsidP="00483042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 xml:space="preserve">Ekonomiczne koszty i korzyści wdrożenia znormalizowanego systemu zarządzania jakością w przedsiębiorstwie usługowym. </w:t>
      </w:r>
    </w:p>
    <w:p w:rsidR="00483042" w:rsidRPr="00895AC5" w:rsidRDefault="00483042" w:rsidP="00483042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>Efekty ekonomiczne wdrożenia, utrzymania i doskonalenia systemu zarządzania środowiskowego w przedsiębiorstwie.</w:t>
      </w:r>
    </w:p>
    <w:p w:rsidR="00483042" w:rsidRPr="00895AC5" w:rsidRDefault="00483042" w:rsidP="00483042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>Normy i standardy jako instrumenty zdobywania przewagi konkurencyjnej przez krajowe przedsiębiorstwa usługowe.</w:t>
      </w:r>
    </w:p>
    <w:p w:rsidR="00483042" w:rsidRPr="00895AC5" w:rsidRDefault="00483042" w:rsidP="00483042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>Efektywność i skuteczność działań jakościowych/środowiskowych w przedsiębiorstwie usługowym</w:t>
      </w:r>
    </w:p>
    <w:p w:rsidR="00483042" w:rsidRPr="00895AC5" w:rsidRDefault="00483042" w:rsidP="00483042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 xml:space="preserve">Funkcjonowanie wybranych podmiotów/przedsiębiorstw usługowych. </w:t>
      </w:r>
    </w:p>
    <w:p w:rsidR="00483042" w:rsidRPr="00895AC5" w:rsidRDefault="00483042" w:rsidP="00483042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lastRenderedPageBreak/>
        <w:t>Zarządzanie ryzykiem spekulacyjnym/czystym w przedsiębiorstwie.</w:t>
      </w:r>
    </w:p>
    <w:p w:rsidR="00483042" w:rsidRPr="00895AC5" w:rsidRDefault="00483042" w:rsidP="00483042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>Bezpieczeństwo ekologiczne w działalności przedsiębiorstw.</w:t>
      </w:r>
    </w:p>
    <w:p w:rsidR="00483042" w:rsidRPr="00895AC5" w:rsidRDefault="00483042" w:rsidP="00483042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>Ochrona ekonomicznych interesów/ praw konsumentów na rynku usług finansowych.</w:t>
      </w:r>
    </w:p>
    <w:p w:rsidR="00483042" w:rsidRPr="00895AC5" w:rsidRDefault="00483042" w:rsidP="00483042">
      <w:pPr>
        <w:pStyle w:val="Akapitzlist"/>
        <w:numPr>
          <w:ilvl w:val="0"/>
          <w:numId w:val="33"/>
        </w:numPr>
        <w:spacing w:after="12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895AC5">
        <w:rPr>
          <w:rFonts w:asciiTheme="minorHAnsi" w:hAnsiTheme="minorHAnsi"/>
          <w:sz w:val="22"/>
          <w:szCs w:val="22"/>
          <w:lang w:val="pl-PL"/>
        </w:rPr>
        <w:t>Bariery pozataryfowe ograniczające międzynarodowy handel usługami.</w:t>
      </w:r>
    </w:p>
    <w:p w:rsidR="00483042" w:rsidRDefault="00483042" w:rsidP="007118D8">
      <w:pPr>
        <w:spacing w:line="360" w:lineRule="auto"/>
        <w:jc w:val="both"/>
      </w:pPr>
      <w:r w:rsidRPr="00895AC5">
        <w:t>Wybór tematu dokonywany w oparciu o zainteresowania studentów problematyką rynku usług  konsumpcyjnych, produkcyjnych i inwestycyjnych dostarczanych przez przedsiębiorstwa (ewentualnie instytucje) gospodarstwom domowych na przykładzie wybranych branż usługowych (hotele, linie lotnicze, biura podróży, banki, towarzystwa ubezpieczeniowe, placówki medyczne, itp.)</w:t>
      </w:r>
    </w:p>
    <w:p w:rsidR="007118D8" w:rsidRPr="0062522F" w:rsidRDefault="007118D8" w:rsidP="007118D8">
      <w:pPr>
        <w:spacing w:line="360" w:lineRule="auto"/>
        <w:jc w:val="both"/>
      </w:pPr>
    </w:p>
    <w:p w:rsidR="00AD0719" w:rsidRPr="001B30E9" w:rsidRDefault="00AD0719" w:rsidP="00AD0719">
      <w:pPr>
        <w:shd w:val="clear" w:color="auto" w:fill="FFFFFF"/>
        <w:spacing w:before="100" w:beforeAutospacing="1" w:after="240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  <w:lang w:val="en-US"/>
        </w:rPr>
      </w:pPr>
      <w:proofErr w:type="spellStart"/>
      <w:r w:rsidRPr="001B30E9">
        <w:rPr>
          <w:rFonts w:ascii="Calibri,Bold" w:hAnsi="Calibri,Bold" w:cs="Calibri,Bold"/>
          <w:b/>
          <w:bCs/>
          <w:sz w:val="28"/>
          <w:szCs w:val="28"/>
          <w:u w:val="single"/>
          <w:lang w:val="en-US"/>
        </w:rPr>
        <w:t>dr</w:t>
      </w:r>
      <w:proofErr w:type="spellEnd"/>
      <w:r w:rsidRPr="001B30E9">
        <w:rPr>
          <w:rFonts w:ascii="Calibri,Bold" w:hAnsi="Calibri,Bold" w:cs="Calibri,Bold"/>
          <w:b/>
          <w:bCs/>
          <w:sz w:val="28"/>
          <w:szCs w:val="28"/>
          <w:u w:val="single"/>
          <w:lang w:val="en-US"/>
        </w:rPr>
        <w:t xml:space="preserve"> hab. Marcin </w:t>
      </w:r>
      <w:proofErr w:type="spellStart"/>
      <w:r w:rsidRPr="001B30E9">
        <w:rPr>
          <w:rFonts w:ascii="Calibri,Bold" w:hAnsi="Calibri,Bold" w:cs="Calibri,Bold"/>
          <w:b/>
          <w:bCs/>
          <w:sz w:val="28"/>
          <w:szCs w:val="28"/>
          <w:u w:val="single"/>
          <w:lang w:val="en-US"/>
        </w:rPr>
        <w:t>Geryk</w:t>
      </w:r>
      <w:proofErr w:type="spellEnd"/>
      <w:r w:rsidRPr="001B30E9">
        <w:rPr>
          <w:rFonts w:ascii="Calibri,Bold" w:hAnsi="Calibri,Bold" w:cs="Calibri,Bold"/>
          <w:b/>
          <w:bCs/>
          <w:sz w:val="28"/>
          <w:szCs w:val="28"/>
          <w:u w:val="single"/>
          <w:lang w:val="en-US"/>
        </w:rPr>
        <w:t>, prof. UJ</w:t>
      </w:r>
    </w:p>
    <w:p w:rsidR="00BD70B0" w:rsidRPr="00BD70B0" w:rsidRDefault="00BD70B0" w:rsidP="00AD0719">
      <w:pPr>
        <w:spacing w:after="160" w:line="360" w:lineRule="auto"/>
      </w:pPr>
      <w:r w:rsidRPr="00BD70B0">
        <w:t>– proponowane zagadnienia prac magisterskich do usta</w:t>
      </w:r>
      <w:r>
        <w:t>lenia in</w:t>
      </w:r>
      <w:r w:rsidR="008D0A99">
        <w:t>dywidualnie z promotorem</w:t>
      </w:r>
      <w:bookmarkStart w:id="0" w:name="_GoBack"/>
      <w:bookmarkEnd w:id="0"/>
    </w:p>
    <w:p w:rsidR="00895AC5" w:rsidRPr="00BD70B0" w:rsidRDefault="00895AC5" w:rsidP="00895AC5">
      <w:pPr>
        <w:shd w:val="clear" w:color="auto" w:fill="FFFFFF"/>
        <w:spacing w:before="100" w:beforeAutospacing="1" w:after="240"/>
        <w:textAlignment w:val="top"/>
        <w:rPr>
          <w:rFonts w:ascii="Calibri" w:eastAsia="Times New Roman" w:hAnsi="Calibri" w:cs="Arial"/>
          <w:lang w:eastAsia="pl-PL"/>
        </w:rPr>
      </w:pPr>
    </w:p>
    <w:p w:rsidR="00EA70C2" w:rsidRPr="00835188" w:rsidRDefault="00EA70C2" w:rsidP="00835188">
      <w:pPr>
        <w:shd w:val="clear" w:color="auto" w:fill="FFFFFF"/>
        <w:spacing w:before="100" w:beforeAutospacing="1" w:after="240" w:line="240" w:lineRule="auto"/>
        <w:jc w:val="center"/>
        <w:textAlignment w:val="top"/>
        <w:rPr>
          <w:rFonts w:ascii="Verdana" w:eastAsia="Times New Roman" w:hAnsi="Verdana" w:cs="Arial"/>
          <w:color w:val="666666"/>
          <w:sz w:val="17"/>
          <w:szCs w:val="17"/>
          <w:lang w:eastAsia="pl-PL"/>
        </w:rPr>
      </w:pPr>
      <w:r>
        <w:rPr>
          <w:rFonts w:ascii="Calibri,Bold" w:hAnsi="Calibri,Bold" w:cs="Calibri,Bold"/>
          <w:b/>
          <w:bCs/>
        </w:rPr>
        <w:t>UWAGA !</w:t>
      </w:r>
    </w:p>
    <w:p w:rsidR="00EA70C2" w:rsidRDefault="00EA70C2" w:rsidP="00EA70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Zapisy do grupy seminaryjnej prowadzone są wyłącznie w systemie USOS – jest to jedyna możliwość zapisania się na seminarium.</w:t>
      </w:r>
    </w:p>
    <w:p w:rsidR="00EA70C2" w:rsidRDefault="00EA70C2" w:rsidP="00EA70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EA70C2" w:rsidRDefault="00EA70C2" w:rsidP="00EA70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EA70C2" w:rsidRDefault="00EA70C2" w:rsidP="00EA70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u w:val="single"/>
        </w:rPr>
      </w:pPr>
      <w:r>
        <w:rPr>
          <w:rFonts w:ascii="Calibri,Bold" w:hAnsi="Calibri,Bold" w:cs="Calibri,Bold"/>
          <w:b/>
          <w:bCs/>
          <w:u w:val="single"/>
        </w:rPr>
        <w:t>OBOWIĄZUJE KOLEJNOŚĆ ZGŁOSZEŃ</w:t>
      </w:r>
    </w:p>
    <w:p w:rsidR="00EA70C2" w:rsidRDefault="00EA70C2" w:rsidP="00EA70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EA70C2" w:rsidRDefault="00EA70C2" w:rsidP="00EA70C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Seminarium zostanie uruchomione przy zapisie minimum 8 osób.</w:t>
      </w:r>
    </w:p>
    <w:p w:rsidR="00EA70C2" w:rsidRDefault="00EA70C2" w:rsidP="00EA70C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Wyżej wymienione tematy stanowią jedynie przykłady problematyki seminarium.</w:t>
      </w:r>
    </w:p>
    <w:p w:rsidR="00EA70C2" w:rsidRDefault="00EA70C2" w:rsidP="00EA70C2">
      <w:pPr>
        <w:jc w:val="center"/>
        <w:rPr>
          <w:rFonts w:ascii="Calibri" w:hAnsi="Calibri" w:cs="Calibri"/>
        </w:rPr>
      </w:pPr>
    </w:p>
    <w:p w:rsidR="00662507" w:rsidRDefault="00662507"/>
    <w:sectPr w:rsidR="00662507" w:rsidSect="004B1B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4.25pt;height:14.25pt" o:bullet="t">
        <v:imagedata r:id="rId1" o:title="mso3"/>
      </v:shape>
    </w:pict>
  </w:numPicBullet>
  <w:abstractNum w:abstractNumId="0" w15:restartNumberingAfterBreak="0">
    <w:nsid w:val="0118178B"/>
    <w:multiLevelType w:val="hybridMultilevel"/>
    <w:tmpl w:val="BA0AB3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A24947"/>
    <w:multiLevelType w:val="hybridMultilevel"/>
    <w:tmpl w:val="E5CA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0781"/>
    <w:multiLevelType w:val="hybridMultilevel"/>
    <w:tmpl w:val="42D41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80CB4"/>
    <w:multiLevelType w:val="hybridMultilevel"/>
    <w:tmpl w:val="63646B1E"/>
    <w:lvl w:ilvl="0" w:tplc="66FEBA6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0AEA6404"/>
    <w:multiLevelType w:val="multilevel"/>
    <w:tmpl w:val="9482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F7064"/>
    <w:multiLevelType w:val="multilevel"/>
    <w:tmpl w:val="E200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F054BC"/>
    <w:multiLevelType w:val="hybridMultilevel"/>
    <w:tmpl w:val="E9F4D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230D2"/>
    <w:multiLevelType w:val="multilevel"/>
    <w:tmpl w:val="4F4C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FA1FCA"/>
    <w:multiLevelType w:val="multilevel"/>
    <w:tmpl w:val="835E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0E5798"/>
    <w:multiLevelType w:val="hybridMultilevel"/>
    <w:tmpl w:val="6B0AE2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12CA2"/>
    <w:multiLevelType w:val="multilevel"/>
    <w:tmpl w:val="F246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A04CBF"/>
    <w:multiLevelType w:val="hybridMultilevel"/>
    <w:tmpl w:val="AFDE4792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E3ADD"/>
    <w:multiLevelType w:val="hybridMultilevel"/>
    <w:tmpl w:val="E3F01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72850"/>
    <w:multiLevelType w:val="hybridMultilevel"/>
    <w:tmpl w:val="9CEE0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34DB5"/>
    <w:multiLevelType w:val="hybridMultilevel"/>
    <w:tmpl w:val="DDBAB86A"/>
    <w:lvl w:ilvl="0" w:tplc="6A7CAC1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BA6507"/>
    <w:multiLevelType w:val="hybridMultilevel"/>
    <w:tmpl w:val="2A427C9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04E08C6"/>
    <w:multiLevelType w:val="hybridMultilevel"/>
    <w:tmpl w:val="63DE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D397E"/>
    <w:multiLevelType w:val="hybridMultilevel"/>
    <w:tmpl w:val="F106F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2B03C3"/>
    <w:multiLevelType w:val="hybridMultilevel"/>
    <w:tmpl w:val="DAC08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B82058"/>
    <w:multiLevelType w:val="hybridMultilevel"/>
    <w:tmpl w:val="0BE6B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50118"/>
    <w:multiLevelType w:val="multilevel"/>
    <w:tmpl w:val="47A6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58574B"/>
    <w:multiLevelType w:val="hybridMultilevel"/>
    <w:tmpl w:val="1E82D8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55464"/>
    <w:multiLevelType w:val="hybridMultilevel"/>
    <w:tmpl w:val="9DC29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117B3"/>
    <w:multiLevelType w:val="hybridMultilevel"/>
    <w:tmpl w:val="A866B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77725"/>
    <w:multiLevelType w:val="hybridMultilevel"/>
    <w:tmpl w:val="D990224A"/>
    <w:lvl w:ilvl="0" w:tplc="78CCB3CA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D7D0D"/>
    <w:multiLevelType w:val="hybridMultilevel"/>
    <w:tmpl w:val="7624A0E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47589"/>
    <w:multiLevelType w:val="hybridMultilevel"/>
    <w:tmpl w:val="B7C81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D62FF"/>
    <w:multiLevelType w:val="hybridMultilevel"/>
    <w:tmpl w:val="7E8895E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F717DB"/>
    <w:multiLevelType w:val="hybridMultilevel"/>
    <w:tmpl w:val="C64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F7064"/>
    <w:multiLevelType w:val="hybridMultilevel"/>
    <w:tmpl w:val="F06273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877F4D"/>
    <w:multiLevelType w:val="hybridMultilevel"/>
    <w:tmpl w:val="004E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22B8D"/>
    <w:multiLevelType w:val="multilevel"/>
    <w:tmpl w:val="FD8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4B0A14"/>
    <w:multiLevelType w:val="multilevel"/>
    <w:tmpl w:val="B0A8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F36413A"/>
    <w:multiLevelType w:val="hybridMultilevel"/>
    <w:tmpl w:val="EA9040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92AE8"/>
    <w:multiLevelType w:val="hybridMultilevel"/>
    <w:tmpl w:val="32FA1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31E7E"/>
    <w:multiLevelType w:val="hybridMultilevel"/>
    <w:tmpl w:val="1D0478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FB7513"/>
    <w:multiLevelType w:val="multilevel"/>
    <w:tmpl w:val="3E92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B9007B9"/>
    <w:multiLevelType w:val="multilevel"/>
    <w:tmpl w:val="E590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C772909"/>
    <w:multiLevelType w:val="hybridMultilevel"/>
    <w:tmpl w:val="E60CE98E"/>
    <w:lvl w:ilvl="0" w:tplc="52EA4B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8"/>
  </w:num>
  <w:num w:numId="4">
    <w:abstractNumId w:val="37"/>
  </w:num>
  <w:num w:numId="5">
    <w:abstractNumId w:val="5"/>
  </w:num>
  <w:num w:numId="6">
    <w:abstractNumId w:val="20"/>
  </w:num>
  <w:num w:numId="7">
    <w:abstractNumId w:val="27"/>
  </w:num>
  <w:num w:numId="8">
    <w:abstractNumId w:val="15"/>
  </w:num>
  <w:num w:numId="9">
    <w:abstractNumId w:val="25"/>
  </w:num>
  <w:num w:numId="10">
    <w:abstractNumId w:val="6"/>
  </w:num>
  <w:num w:numId="11">
    <w:abstractNumId w:val="38"/>
  </w:num>
  <w:num w:numId="12">
    <w:abstractNumId w:val="18"/>
  </w:num>
  <w:num w:numId="13">
    <w:abstractNumId w:val="35"/>
  </w:num>
  <w:num w:numId="14">
    <w:abstractNumId w:val="0"/>
  </w:num>
  <w:num w:numId="15">
    <w:abstractNumId w:val="22"/>
  </w:num>
  <w:num w:numId="16">
    <w:abstractNumId w:val="19"/>
  </w:num>
  <w:num w:numId="17">
    <w:abstractNumId w:val="3"/>
  </w:num>
  <w:num w:numId="18">
    <w:abstractNumId w:val="23"/>
  </w:num>
  <w:num w:numId="19">
    <w:abstractNumId w:val="1"/>
  </w:num>
  <w:num w:numId="20">
    <w:abstractNumId w:val="12"/>
  </w:num>
  <w:num w:numId="21">
    <w:abstractNumId w:val="16"/>
  </w:num>
  <w:num w:numId="22">
    <w:abstractNumId w:val="21"/>
  </w:num>
  <w:num w:numId="23">
    <w:abstractNumId w:val="2"/>
  </w:num>
  <w:num w:numId="24">
    <w:abstractNumId w:val="26"/>
  </w:num>
  <w:num w:numId="25">
    <w:abstractNumId w:val="31"/>
  </w:num>
  <w:num w:numId="26">
    <w:abstractNumId w:val="10"/>
  </w:num>
  <w:num w:numId="27">
    <w:abstractNumId w:val="7"/>
  </w:num>
  <w:num w:numId="28">
    <w:abstractNumId w:val="4"/>
  </w:num>
  <w:num w:numId="29">
    <w:abstractNumId w:val="14"/>
  </w:num>
  <w:num w:numId="30">
    <w:abstractNumId w:val="30"/>
  </w:num>
  <w:num w:numId="31">
    <w:abstractNumId w:val="24"/>
  </w:num>
  <w:num w:numId="32">
    <w:abstractNumId w:val="11"/>
  </w:num>
  <w:num w:numId="33">
    <w:abstractNumId w:val="28"/>
  </w:num>
  <w:num w:numId="34">
    <w:abstractNumId w:val="34"/>
  </w:num>
  <w:num w:numId="35">
    <w:abstractNumId w:val="13"/>
  </w:num>
  <w:num w:numId="36">
    <w:abstractNumId w:val="34"/>
  </w:num>
  <w:num w:numId="37">
    <w:abstractNumId w:val="17"/>
  </w:num>
  <w:num w:numId="38">
    <w:abstractNumId w:val="33"/>
  </w:num>
  <w:num w:numId="39">
    <w:abstractNumId w:val="29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7"/>
    <w:rsid w:val="00001123"/>
    <w:rsid w:val="00030A2C"/>
    <w:rsid w:val="00062230"/>
    <w:rsid w:val="0006623D"/>
    <w:rsid w:val="000C3751"/>
    <w:rsid w:val="000D5762"/>
    <w:rsid w:val="000F56CA"/>
    <w:rsid w:val="00110055"/>
    <w:rsid w:val="0013369F"/>
    <w:rsid w:val="00134ACA"/>
    <w:rsid w:val="001B1625"/>
    <w:rsid w:val="001B30E9"/>
    <w:rsid w:val="00225F30"/>
    <w:rsid w:val="0023352D"/>
    <w:rsid w:val="00233544"/>
    <w:rsid w:val="00265280"/>
    <w:rsid w:val="002B5971"/>
    <w:rsid w:val="002D1B06"/>
    <w:rsid w:val="002D1F62"/>
    <w:rsid w:val="002F4D17"/>
    <w:rsid w:val="002F685E"/>
    <w:rsid w:val="00332D0A"/>
    <w:rsid w:val="00371678"/>
    <w:rsid w:val="00381003"/>
    <w:rsid w:val="003823FA"/>
    <w:rsid w:val="003A201B"/>
    <w:rsid w:val="004036BB"/>
    <w:rsid w:val="0041440E"/>
    <w:rsid w:val="004576E3"/>
    <w:rsid w:val="004707AF"/>
    <w:rsid w:val="00483042"/>
    <w:rsid w:val="004B1B96"/>
    <w:rsid w:val="004F42B7"/>
    <w:rsid w:val="00525DD7"/>
    <w:rsid w:val="0054462C"/>
    <w:rsid w:val="00561A31"/>
    <w:rsid w:val="00565D0C"/>
    <w:rsid w:val="0057672B"/>
    <w:rsid w:val="005B40B6"/>
    <w:rsid w:val="00625174"/>
    <w:rsid w:val="0062522F"/>
    <w:rsid w:val="00637D04"/>
    <w:rsid w:val="00650AAA"/>
    <w:rsid w:val="006520FC"/>
    <w:rsid w:val="00653909"/>
    <w:rsid w:val="00662507"/>
    <w:rsid w:val="006C3EFD"/>
    <w:rsid w:val="007118D8"/>
    <w:rsid w:val="00717D48"/>
    <w:rsid w:val="00735FB4"/>
    <w:rsid w:val="007F5EA2"/>
    <w:rsid w:val="0082142F"/>
    <w:rsid w:val="00835188"/>
    <w:rsid w:val="008603E5"/>
    <w:rsid w:val="00895AC5"/>
    <w:rsid w:val="008A0046"/>
    <w:rsid w:val="008A67D7"/>
    <w:rsid w:val="008D0A99"/>
    <w:rsid w:val="008D3733"/>
    <w:rsid w:val="00901C4D"/>
    <w:rsid w:val="009043AC"/>
    <w:rsid w:val="00927D2E"/>
    <w:rsid w:val="00940117"/>
    <w:rsid w:val="00943F5B"/>
    <w:rsid w:val="009441E0"/>
    <w:rsid w:val="00971F44"/>
    <w:rsid w:val="009D74F4"/>
    <w:rsid w:val="009E0200"/>
    <w:rsid w:val="00A40630"/>
    <w:rsid w:val="00A877F0"/>
    <w:rsid w:val="00AD0719"/>
    <w:rsid w:val="00AF2069"/>
    <w:rsid w:val="00B22D77"/>
    <w:rsid w:val="00B2649D"/>
    <w:rsid w:val="00B41313"/>
    <w:rsid w:val="00BD70B0"/>
    <w:rsid w:val="00C25E45"/>
    <w:rsid w:val="00CD6AAD"/>
    <w:rsid w:val="00D07028"/>
    <w:rsid w:val="00D53B54"/>
    <w:rsid w:val="00DA030B"/>
    <w:rsid w:val="00E32C1A"/>
    <w:rsid w:val="00E50DE0"/>
    <w:rsid w:val="00EA70C2"/>
    <w:rsid w:val="00EB270F"/>
    <w:rsid w:val="00EB3C47"/>
    <w:rsid w:val="00EB4C7B"/>
    <w:rsid w:val="00F1534B"/>
    <w:rsid w:val="00F4184C"/>
    <w:rsid w:val="00F51871"/>
    <w:rsid w:val="00F5204B"/>
    <w:rsid w:val="00F7561B"/>
    <w:rsid w:val="00F8393B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D48C1-4060-4687-ABC1-B3E855D2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6250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6250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625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2507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898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0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9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735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45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9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60F64-50DE-4FA4-B8B3-8ECB0E87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2598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18151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IEFiZ</cp:lastModifiedBy>
  <cp:revision>28</cp:revision>
  <dcterms:created xsi:type="dcterms:W3CDTF">2020-01-29T12:45:00Z</dcterms:created>
  <dcterms:modified xsi:type="dcterms:W3CDTF">2020-02-06T10:47:00Z</dcterms:modified>
</cp:coreProperties>
</file>