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600" w:rsidRDefault="00E44600" w:rsidP="0052203A">
      <w:pPr>
        <w:pStyle w:val="Default"/>
        <w:ind w:left="-426" w:hanging="426"/>
        <w:jc w:val="center"/>
        <w:rPr>
          <w:b/>
          <w:bCs/>
          <w:sz w:val="44"/>
          <w:szCs w:val="44"/>
        </w:rPr>
      </w:pPr>
    </w:p>
    <w:p w:rsidR="0052203A" w:rsidRPr="00E44600" w:rsidRDefault="0052203A" w:rsidP="0052203A">
      <w:pPr>
        <w:pStyle w:val="Default"/>
        <w:ind w:left="-426" w:hanging="426"/>
        <w:jc w:val="center"/>
        <w:rPr>
          <w:sz w:val="44"/>
          <w:szCs w:val="44"/>
        </w:rPr>
      </w:pPr>
      <w:r w:rsidRPr="00E44600">
        <w:rPr>
          <w:b/>
          <w:bCs/>
          <w:sz w:val="44"/>
          <w:szCs w:val="44"/>
        </w:rPr>
        <w:t>PROPONOWANE TEMATY</w:t>
      </w:r>
      <w:r w:rsidR="00D14179" w:rsidRPr="00E44600">
        <w:rPr>
          <w:b/>
          <w:bCs/>
          <w:sz w:val="44"/>
          <w:szCs w:val="44"/>
        </w:rPr>
        <w:t xml:space="preserve"> ZAGADNIEŃ </w:t>
      </w:r>
      <w:r w:rsidR="00E44600">
        <w:rPr>
          <w:b/>
          <w:bCs/>
          <w:sz w:val="44"/>
          <w:szCs w:val="44"/>
        </w:rPr>
        <w:br/>
      </w:r>
      <w:r w:rsidR="00D14179" w:rsidRPr="00E44600">
        <w:rPr>
          <w:b/>
          <w:bCs/>
          <w:sz w:val="44"/>
          <w:szCs w:val="44"/>
        </w:rPr>
        <w:t>DO PRAC LICENCJACKICH</w:t>
      </w:r>
    </w:p>
    <w:p w:rsidR="0052203A" w:rsidRPr="00E44600" w:rsidRDefault="0052203A" w:rsidP="0052203A">
      <w:pPr>
        <w:pStyle w:val="Default"/>
        <w:jc w:val="center"/>
        <w:rPr>
          <w:sz w:val="44"/>
          <w:szCs w:val="44"/>
        </w:rPr>
      </w:pPr>
      <w:r w:rsidRPr="00E44600">
        <w:rPr>
          <w:b/>
          <w:bCs/>
          <w:sz w:val="44"/>
          <w:szCs w:val="44"/>
        </w:rPr>
        <w:t>Kierunek EKONOMIA</w:t>
      </w:r>
    </w:p>
    <w:p w:rsidR="0052203A" w:rsidRDefault="0052203A" w:rsidP="0052203A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STUDIA PIERWSZEGO STOPNIA</w:t>
      </w:r>
    </w:p>
    <w:p w:rsidR="0052203A" w:rsidRDefault="0052203A" w:rsidP="0052203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</w:t>
      </w:r>
      <w:r w:rsidR="00B33462">
        <w:rPr>
          <w:b/>
          <w:bCs/>
          <w:sz w:val="32"/>
          <w:szCs w:val="32"/>
        </w:rPr>
        <w:t>acjonarne na rok akademicki 2019/20</w:t>
      </w:r>
    </w:p>
    <w:p w:rsidR="0052203A" w:rsidRPr="00F92E0C" w:rsidRDefault="0052203A" w:rsidP="0052203A">
      <w:pPr>
        <w:pStyle w:val="Default"/>
        <w:jc w:val="center"/>
        <w:rPr>
          <w:sz w:val="32"/>
          <w:szCs w:val="32"/>
          <w:u w:val="single"/>
        </w:rPr>
      </w:pPr>
    </w:p>
    <w:p w:rsidR="0052203A" w:rsidRDefault="0052203A" w:rsidP="008925EE">
      <w:pPr>
        <w:rPr>
          <w:b/>
          <w:bCs/>
          <w:sz w:val="36"/>
          <w:szCs w:val="36"/>
          <w:u w:val="single"/>
        </w:rPr>
      </w:pPr>
      <w:r w:rsidRPr="00F92E0C">
        <w:rPr>
          <w:b/>
          <w:bCs/>
          <w:sz w:val="36"/>
          <w:szCs w:val="36"/>
          <w:u w:val="single"/>
        </w:rPr>
        <w:t xml:space="preserve">Przykładowe zakresy tematyczne: </w:t>
      </w:r>
    </w:p>
    <w:p w:rsidR="00677416" w:rsidRPr="00677416" w:rsidRDefault="00677416" w:rsidP="007C0017">
      <w:pPr>
        <w:rPr>
          <w:b/>
          <w:sz w:val="16"/>
          <w:szCs w:val="16"/>
          <w:u w:val="single"/>
        </w:rPr>
      </w:pPr>
    </w:p>
    <w:p w:rsidR="00036ED9" w:rsidRDefault="00677416" w:rsidP="007C001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</w:t>
      </w:r>
      <w:r w:rsidR="000D1CE8">
        <w:rPr>
          <w:b/>
          <w:sz w:val="36"/>
          <w:szCs w:val="36"/>
          <w:u w:val="single"/>
        </w:rPr>
        <w:t xml:space="preserve">r Małgorzata </w:t>
      </w:r>
      <w:proofErr w:type="spellStart"/>
      <w:r w:rsidR="000D1CE8">
        <w:rPr>
          <w:b/>
          <w:sz w:val="36"/>
          <w:szCs w:val="36"/>
          <w:u w:val="single"/>
        </w:rPr>
        <w:t>Kutera</w:t>
      </w:r>
      <w:proofErr w:type="spellEnd"/>
    </w:p>
    <w:p w:rsidR="000D1CE8" w:rsidRPr="00D64CC0" w:rsidRDefault="000D1CE8" w:rsidP="000D1CE8">
      <w:pPr>
        <w:numPr>
          <w:ilvl w:val="0"/>
          <w:numId w:val="19"/>
        </w:numPr>
        <w:spacing w:before="120" w:after="0" w:line="240" w:lineRule="auto"/>
        <w:ind w:left="850" w:hanging="493"/>
        <w:jc w:val="both"/>
      </w:pPr>
      <w:r w:rsidRPr="00D64CC0">
        <w:t>Kreatywna rachunkowość, metody „upiększania” sytuacji majątkowo-finansowej oraz wyniku finansowego spółek</w:t>
      </w:r>
    </w:p>
    <w:p w:rsidR="000D1CE8" w:rsidRPr="00D64CC0" w:rsidRDefault="000D1CE8" w:rsidP="000D1CE8">
      <w:pPr>
        <w:numPr>
          <w:ilvl w:val="0"/>
          <w:numId w:val="19"/>
        </w:numPr>
        <w:spacing w:before="120" w:after="0" w:line="240" w:lineRule="auto"/>
        <w:ind w:left="850" w:hanging="493"/>
        <w:jc w:val="both"/>
      </w:pPr>
      <w:r w:rsidRPr="00D64CC0">
        <w:t xml:space="preserve">Istota oszustw księgowych oraz przestępstw gospodarczych w praktyce  </w:t>
      </w:r>
    </w:p>
    <w:p w:rsidR="000D1CE8" w:rsidRPr="00D64CC0" w:rsidRDefault="000D1CE8" w:rsidP="000D1CE8">
      <w:pPr>
        <w:numPr>
          <w:ilvl w:val="0"/>
          <w:numId w:val="19"/>
        </w:numPr>
        <w:spacing w:before="120" w:after="0" w:line="240" w:lineRule="auto"/>
        <w:ind w:left="850" w:hanging="493"/>
        <w:jc w:val="both"/>
      </w:pPr>
      <w:r w:rsidRPr="00D64CC0">
        <w:t>Słynne upadki wielkich korporacji – praktyczne aspekty bankructwa</w:t>
      </w:r>
    </w:p>
    <w:p w:rsidR="000D1CE8" w:rsidRPr="00D64CC0" w:rsidRDefault="000D1CE8" w:rsidP="000D1CE8">
      <w:pPr>
        <w:numPr>
          <w:ilvl w:val="0"/>
          <w:numId w:val="19"/>
        </w:numPr>
        <w:spacing w:before="120" w:after="0" w:line="240" w:lineRule="auto"/>
        <w:ind w:left="850" w:hanging="493"/>
        <w:jc w:val="both"/>
      </w:pPr>
      <w:r w:rsidRPr="00D64CC0">
        <w:t>Modele przewidywania bankructwa spółki – „systemy wczesnego ostrzegania”</w:t>
      </w:r>
    </w:p>
    <w:p w:rsidR="000D1CE8" w:rsidRPr="00D64CC0" w:rsidRDefault="000D1CE8" w:rsidP="000D1CE8">
      <w:pPr>
        <w:numPr>
          <w:ilvl w:val="0"/>
          <w:numId w:val="19"/>
        </w:numPr>
        <w:spacing w:before="120" w:after="0" w:line="240" w:lineRule="auto"/>
        <w:ind w:left="850" w:hanging="493"/>
        <w:jc w:val="both"/>
      </w:pPr>
      <w:r w:rsidRPr="00D64CC0">
        <w:t>Kryzysy gospodarcze i finansowe</w:t>
      </w:r>
    </w:p>
    <w:p w:rsidR="000D1CE8" w:rsidRPr="00D64CC0" w:rsidRDefault="000D1CE8" w:rsidP="000D1CE8">
      <w:pPr>
        <w:numPr>
          <w:ilvl w:val="0"/>
          <w:numId w:val="19"/>
        </w:numPr>
        <w:spacing w:before="120" w:after="0" w:line="240" w:lineRule="auto"/>
        <w:ind w:left="850" w:hanging="493"/>
        <w:jc w:val="both"/>
      </w:pPr>
      <w:r w:rsidRPr="00D64CC0">
        <w:t>Analiza ekonomiczna wybranych przedsiębiorstw (porównania branżowe, krajowe, międzynarodowe)</w:t>
      </w:r>
    </w:p>
    <w:p w:rsidR="000D1CE8" w:rsidRPr="00D64CC0" w:rsidRDefault="000D1CE8" w:rsidP="000D1CE8">
      <w:pPr>
        <w:numPr>
          <w:ilvl w:val="0"/>
          <w:numId w:val="19"/>
        </w:numPr>
        <w:spacing w:before="120" w:after="0" w:line="240" w:lineRule="auto"/>
        <w:ind w:left="850" w:hanging="493"/>
        <w:jc w:val="both"/>
      </w:pPr>
      <w:r w:rsidRPr="00D64CC0">
        <w:t>Ocena sytuacji majątkowo-finansowej i wyników finansowych na podstawie sprawozdań finansowych</w:t>
      </w:r>
    </w:p>
    <w:p w:rsidR="000D1CE8" w:rsidRPr="00D64CC0" w:rsidRDefault="000D1CE8" w:rsidP="000D1CE8">
      <w:pPr>
        <w:numPr>
          <w:ilvl w:val="0"/>
          <w:numId w:val="19"/>
        </w:numPr>
        <w:spacing w:before="120" w:after="0" w:line="240" w:lineRule="auto"/>
        <w:ind w:left="850" w:hanging="493"/>
        <w:jc w:val="both"/>
      </w:pPr>
      <w:r w:rsidRPr="00D64CC0">
        <w:t>Analiza wypłacalności i poziomu zadłużenia przedsiębiorstw</w:t>
      </w:r>
    </w:p>
    <w:p w:rsidR="000D1CE8" w:rsidRDefault="000D1CE8" w:rsidP="000D1CE8">
      <w:pPr>
        <w:numPr>
          <w:ilvl w:val="0"/>
          <w:numId w:val="19"/>
        </w:numPr>
        <w:spacing w:before="120" w:after="0" w:line="240" w:lineRule="auto"/>
        <w:ind w:left="850" w:hanging="493"/>
        <w:jc w:val="both"/>
      </w:pPr>
      <w:r w:rsidRPr="00D64CC0">
        <w:t>Sprawozdawczość finansowa przedsiębiorstw w ujęciu krajowym oraz międzynarodowym</w:t>
      </w:r>
    </w:p>
    <w:p w:rsidR="000D1CE8" w:rsidRPr="00D64CC0" w:rsidRDefault="000D1CE8" w:rsidP="000D1CE8">
      <w:pPr>
        <w:numPr>
          <w:ilvl w:val="0"/>
          <w:numId w:val="19"/>
        </w:numPr>
        <w:spacing w:before="120" w:after="0" w:line="240" w:lineRule="auto"/>
        <w:ind w:left="850" w:hanging="493"/>
        <w:jc w:val="both"/>
      </w:pPr>
      <w:r>
        <w:t>Sprawozdawczość zintegrowana, sprawozdawczość CSR</w:t>
      </w:r>
    </w:p>
    <w:p w:rsidR="000D1CE8" w:rsidRPr="00D64CC0" w:rsidRDefault="000D1CE8" w:rsidP="000D1CE8">
      <w:pPr>
        <w:numPr>
          <w:ilvl w:val="0"/>
          <w:numId w:val="19"/>
        </w:numPr>
        <w:spacing w:before="120" w:after="0" w:line="240" w:lineRule="auto"/>
        <w:ind w:left="850" w:hanging="493"/>
        <w:jc w:val="both"/>
      </w:pPr>
      <w:r w:rsidRPr="00D64CC0">
        <w:t xml:space="preserve">Analiza bilansu, rachunku zysków i strata, </w:t>
      </w:r>
      <w:proofErr w:type="spellStart"/>
      <w:r w:rsidRPr="00D64CC0">
        <w:t>cash</w:t>
      </w:r>
      <w:proofErr w:type="spellEnd"/>
      <w:r w:rsidRPr="00D64CC0">
        <w:t xml:space="preserve"> </w:t>
      </w:r>
      <w:proofErr w:type="spellStart"/>
      <w:r w:rsidRPr="00D64CC0">
        <w:t>flow</w:t>
      </w:r>
      <w:proofErr w:type="spellEnd"/>
    </w:p>
    <w:p w:rsidR="000D1CE8" w:rsidRPr="00D64CC0" w:rsidRDefault="000D1CE8" w:rsidP="000D1CE8">
      <w:pPr>
        <w:numPr>
          <w:ilvl w:val="0"/>
          <w:numId w:val="19"/>
        </w:numPr>
        <w:spacing w:before="120" w:after="0" w:line="240" w:lineRule="auto"/>
        <w:ind w:left="850" w:hanging="493"/>
        <w:jc w:val="both"/>
      </w:pPr>
      <w:r w:rsidRPr="00D64CC0">
        <w:t>Audyt finansowy, rewizja finansowa, działalność biegłych rewidentów</w:t>
      </w:r>
    </w:p>
    <w:p w:rsidR="000D1CE8" w:rsidRDefault="000D1CE8" w:rsidP="000D1CE8">
      <w:pPr>
        <w:numPr>
          <w:ilvl w:val="0"/>
          <w:numId w:val="19"/>
        </w:numPr>
        <w:spacing w:before="120" w:after="0" w:line="240" w:lineRule="auto"/>
        <w:ind w:left="850" w:hanging="493"/>
        <w:jc w:val="both"/>
      </w:pPr>
      <w:r w:rsidRPr="00D64CC0">
        <w:t>Metody badania rocznych sprawozdań finansowych</w:t>
      </w:r>
    </w:p>
    <w:p w:rsidR="000D1CE8" w:rsidRDefault="000D1CE8" w:rsidP="000D1CE8">
      <w:pPr>
        <w:numPr>
          <w:ilvl w:val="0"/>
          <w:numId w:val="19"/>
        </w:numPr>
        <w:spacing w:before="120" w:after="0" w:line="240" w:lineRule="auto"/>
        <w:ind w:left="850" w:hanging="493"/>
        <w:jc w:val="both"/>
      </w:pPr>
      <w:r>
        <w:t>Audyt wewnętrzny oraz kontrola wewnętrzna w sektorze publicznym i prywatnym</w:t>
      </w:r>
    </w:p>
    <w:p w:rsidR="000D1CE8" w:rsidRDefault="000D1CE8" w:rsidP="000D1CE8">
      <w:pPr>
        <w:numPr>
          <w:ilvl w:val="0"/>
          <w:numId w:val="19"/>
        </w:numPr>
        <w:spacing w:before="120" w:after="0" w:line="240" w:lineRule="auto"/>
        <w:ind w:left="850" w:hanging="493"/>
        <w:jc w:val="both"/>
      </w:pPr>
      <w:r>
        <w:t>Metody wyceny i prezentacji w sprawozdaniach składników majątkowych spółek</w:t>
      </w:r>
    </w:p>
    <w:p w:rsidR="000D1CE8" w:rsidRDefault="000D1CE8" w:rsidP="000D1CE8">
      <w:pPr>
        <w:numPr>
          <w:ilvl w:val="0"/>
          <w:numId w:val="19"/>
        </w:numPr>
        <w:spacing w:before="120" w:after="0" w:line="240" w:lineRule="auto"/>
        <w:ind w:left="850" w:hanging="493"/>
        <w:jc w:val="both"/>
      </w:pPr>
      <w:r>
        <w:t>Źródła finansowania działalności gospodarczej</w:t>
      </w:r>
    </w:p>
    <w:p w:rsidR="000D1CE8" w:rsidRDefault="000D1CE8" w:rsidP="000D1CE8">
      <w:pPr>
        <w:numPr>
          <w:ilvl w:val="0"/>
          <w:numId w:val="19"/>
        </w:numPr>
        <w:spacing w:before="120" w:after="0" w:line="240" w:lineRule="auto"/>
        <w:ind w:left="850" w:hanging="493"/>
        <w:jc w:val="both"/>
      </w:pPr>
      <w:r>
        <w:t>Działalność grup kapitałowych, struktury międzynarodowe – aspekty finansowe</w:t>
      </w:r>
    </w:p>
    <w:p w:rsidR="000D1CE8" w:rsidRDefault="000D1CE8" w:rsidP="000D1CE8">
      <w:pPr>
        <w:numPr>
          <w:ilvl w:val="0"/>
          <w:numId w:val="19"/>
        </w:numPr>
        <w:spacing w:before="120" w:after="0" w:line="240" w:lineRule="auto"/>
        <w:ind w:left="850" w:hanging="493"/>
        <w:jc w:val="both"/>
      </w:pPr>
      <w:r>
        <w:t xml:space="preserve">System podatkowy w Polsce na tle rozwiązań światowych </w:t>
      </w:r>
    </w:p>
    <w:p w:rsidR="000D1CE8" w:rsidRDefault="000D1CE8" w:rsidP="000D1CE8">
      <w:pPr>
        <w:numPr>
          <w:ilvl w:val="0"/>
          <w:numId w:val="19"/>
        </w:numPr>
        <w:spacing w:before="120" w:after="0" w:line="240" w:lineRule="auto"/>
        <w:ind w:left="850" w:hanging="493"/>
        <w:jc w:val="both"/>
      </w:pPr>
      <w:r>
        <w:t>Zagadnienia optymalizacji podatkowej, działalność rajów podatkowych</w:t>
      </w:r>
    </w:p>
    <w:p w:rsidR="000D1CE8" w:rsidRDefault="000D1CE8" w:rsidP="000D1CE8">
      <w:pPr>
        <w:numPr>
          <w:ilvl w:val="0"/>
          <w:numId w:val="19"/>
        </w:numPr>
        <w:spacing w:before="120" w:after="0" w:line="240" w:lineRule="auto"/>
        <w:ind w:left="850" w:hanging="493"/>
        <w:jc w:val="both"/>
      </w:pPr>
      <w:r>
        <w:t>Zróżnicowane aspekty zarządzania finansami w ujęcia mikroekonomicznym.</w:t>
      </w:r>
    </w:p>
    <w:p w:rsidR="000D1CE8" w:rsidRDefault="000D1CE8" w:rsidP="000D1CE8">
      <w:pPr>
        <w:spacing w:before="120" w:after="0" w:line="240" w:lineRule="auto"/>
        <w:jc w:val="both"/>
      </w:pPr>
    </w:p>
    <w:p w:rsidR="000D1CE8" w:rsidRDefault="000D1CE8" w:rsidP="000D1CE8">
      <w:pPr>
        <w:spacing w:before="120" w:after="0" w:line="240" w:lineRule="auto"/>
        <w:jc w:val="both"/>
      </w:pPr>
    </w:p>
    <w:p w:rsidR="000D1CE8" w:rsidRDefault="000D1CE8" w:rsidP="000D1CE8">
      <w:pPr>
        <w:spacing w:before="120" w:after="0" w:line="240" w:lineRule="auto"/>
        <w:jc w:val="both"/>
      </w:pPr>
    </w:p>
    <w:p w:rsidR="000D1CE8" w:rsidRDefault="000D1CE8" w:rsidP="000D1CE8">
      <w:pPr>
        <w:spacing w:before="120" w:after="0" w:line="240" w:lineRule="auto"/>
        <w:jc w:val="both"/>
      </w:pPr>
    </w:p>
    <w:p w:rsidR="000D1CE8" w:rsidRDefault="000D1CE8" w:rsidP="000D1CE8">
      <w:pPr>
        <w:spacing w:before="120" w:after="0" w:line="240" w:lineRule="auto"/>
        <w:jc w:val="both"/>
      </w:pPr>
    </w:p>
    <w:p w:rsidR="000D1CE8" w:rsidRDefault="000D1CE8" w:rsidP="000D1CE8">
      <w:pPr>
        <w:spacing w:before="120" w:after="0" w:line="240" w:lineRule="auto"/>
        <w:jc w:val="both"/>
      </w:pPr>
    </w:p>
    <w:p w:rsidR="000D1CE8" w:rsidRDefault="000D1CE8" w:rsidP="000D1CE8">
      <w:pPr>
        <w:spacing w:before="120" w:after="0" w:line="240" w:lineRule="auto"/>
        <w:jc w:val="both"/>
      </w:pPr>
    </w:p>
    <w:p w:rsidR="003B3F2D" w:rsidRPr="007C0017" w:rsidRDefault="000D1CE8" w:rsidP="003B3F2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dr Zofia </w:t>
      </w:r>
      <w:proofErr w:type="spellStart"/>
      <w:r>
        <w:rPr>
          <w:b/>
          <w:sz w:val="36"/>
          <w:szCs w:val="36"/>
          <w:u w:val="single"/>
        </w:rPr>
        <w:t>Łapniewska</w:t>
      </w:r>
      <w:proofErr w:type="spellEnd"/>
    </w:p>
    <w:p w:rsidR="000D1CE8" w:rsidRPr="000D1CE8" w:rsidRDefault="000D1CE8" w:rsidP="000D1CE8">
      <w:pPr>
        <w:pStyle w:val="Akapitzlist"/>
        <w:numPr>
          <w:ilvl w:val="0"/>
          <w:numId w:val="21"/>
        </w:numPr>
        <w:spacing w:after="0" w:line="360" w:lineRule="auto"/>
        <w:rPr>
          <w:rFonts w:eastAsia="Times New Roman"/>
          <w:color w:val="000000"/>
        </w:rPr>
      </w:pPr>
      <w:r w:rsidRPr="000D1CE8">
        <w:rPr>
          <w:rFonts w:eastAsia="Times New Roman"/>
          <w:color w:val="000000"/>
        </w:rPr>
        <w:t>Ekonomia ekologiczna, post-wzrost, post-humanizm</w:t>
      </w:r>
    </w:p>
    <w:p w:rsidR="000D1CE8" w:rsidRPr="000D1CE8" w:rsidRDefault="000D1CE8" w:rsidP="000D1CE8">
      <w:pPr>
        <w:pStyle w:val="Akapitzlist"/>
        <w:numPr>
          <w:ilvl w:val="0"/>
          <w:numId w:val="21"/>
        </w:numPr>
        <w:spacing w:after="0" w:line="360" w:lineRule="auto"/>
        <w:rPr>
          <w:rFonts w:eastAsia="Times New Roman"/>
          <w:color w:val="000000"/>
        </w:rPr>
      </w:pPr>
      <w:r w:rsidRPr="000D1CE8">
        <w:rPr>
          <w:rFonts w:eastAsia="Times New Roman"/>
          <w:color w:val="000000"/>
        </w:rPr>
        <w:t>Ekonomia opieki, nieodpłatne prace, nowe ramy makroekonomiczne</w:t>
      </w:r>
    </w:p>
    <w:p w:rsidR="000D1CE8" w:rsidRPr="000D1CE8" w:rsidRDefault="000D1CE8" w:rsidP="000D1CE8">
      <w:pPr>
        <w:pStyle w:val="Akapitzlist"/>
        <w:numPr>
          <w:ilvl w:val="0"/>
          <w:numId w:val="21"/>
        </w:numPr>
        <w:spacing w:after="0" w:line="360" w:lineRule="auto"/>
        <w:rPr>
          <w:rFonts w:eastAsia="Times New Roman"/>
          <w:color w:val="000000"/>
        </w:rPr>
      </w:pPr>
      <w:r w:rsidRPr="000D1CE8">
        <w:rPr>
          <w:rFonts w:eastAsia="Times New Roman"/>
          <w:color w:val="000000"/>
        </w:rPr>
        <w:t>Ubóstwo i nierówności, badania porównawcze, prognozy</w:t>
      </w:r>
    </w:p>
    <w:p w:rsidR="000D1CE8" w:rsidRPr="000D1CE8" w:rsidRDefault="000D1CE8" w:rsidP="000D1CE8">
      <w:pPr>
        <w:pStyle w:val="Akapitzlist"/>
        <w:numPr>
          <w:ilvl w:val="0"/>
          <w:numId w:val="21"/>
        </w:numPr>
        <w:spacing w:after="0" w:line="360" w:lineRule="auto"/>
        <w:rPr>
          <w:rFonts w:eastAsia="Times New Roman"/>
          <w:color w:val="000000"/>
        </w:rPr>
      </w:pPr>
      <w:r w:rsidRPr="000D1CE8">
        <w:rPr>
          <w:rFonts w:eastAsia="Times New Roman"/>
          <w:color w:val="000000"/>
        </w:rPr>
        <w:t>Jakość życia, dobrostan, wskaźniki, badania porównawcze</w:t>
      </w:r>
    </w:p>
    <w:p w:rsidR="000D1CE8" w:rsidRPr="000D1CE8" w:rsidRDefault="000D1CE8" w:rsidP="000D1CE8">
      <w:pPr>
        <w:pStyle w:val="Akapitzlist"/>
        <w:numPr>
          <w:ilvl w:val="0"/>
          <w:numId w:val="21"/>
        </w:numPr>
        <w:spacing w:after="0" w:line="360" w:lineRule="auto"/>
        <w:rPr>
          <w:rFonts w:eastAsia="Times New Roman"/>
          <w:color w:val="000000"/>
        </w:rPr>
      </w:pPr>
      <w:r w:rsidRPr="000D1CE8">
        <w:rPr>
          <w:rFonts w:eastAsia="Times New Roman"/>
          <w:color w:val="000000"/>
        </w:rPr>
        <w:t>Rynek pracy, automatyzacja, Gospodarka 4.0</w:t>
      </w:r>
    </w:p>
    <w:p w:rsidR="000D1CE8" w:rsidRPr="000D1CE8" w:rsidRDefault="000D1CE8" w:rsidP="000D1CE8">
      <w:pPr>
        <w:pStyle w:val="Akapitzlist"/>
        <w:numPr>
          <w:ilvl w:val="0"/>
          <w:numId w:val="21"/>
        </w:numPr>
        <w:spacing w:after="0" w:line="360" w:lineRule="auto"/>
        <w:rPr>
          <w:rFonts w:eastAsia="Times New Roman"/>
          <w:color w:val="000000"/>
        </w:rPr>
      </w:pPr>
      <w:r w:rsidRPr="000D1CE8">
        <w:rPr>
          <w:rFonts w:eastAsia="Times New Roman"/>
          <w:color w:val="000000"/>
        </w:rPr>
        <w:t>Innowacje, konkurencyjność gospodarek</w:t>
      </w:r>
    </w:p>
    <w:p w:rsidR="000D1CE8" w:rsidRPr="000D1CE8" w:rsidRDefault="000D1CE8" w:rsidP="000D1CE8">
      <w:pPr>
        <w:pStyle w:val="Akapitzlist"/>
        <w:numPr>
          <w:ilvl w:val="0"/>
          <w:numId w:val="21"/>
        </w:numPr>
        <w:spacing w:after="0" w:line="360" w:lineRule="auto"/>
        <w:rPr>
          <w:rFonts w:eastAsia="Times New Roman"/>
          <w:color w:val="000000"/>
        </w:rPr>
      </w:pPr>
      <w:r w:rsidRPr="000D1CE8">
        <w:rPr>
          <w:rFonts w:eastAsia="Times New Roman"/>
          <w:color w:val="000000"/>
        </w:rPr>
        <w:t>Polityka społeczna, badania porównawcze systemów, nowe propozycje i rozwiązania, finansowanie</w:t>
      </w:r>
    </w:p>
    <w:p w:rsidR="000D1CE8" w:rsidRPr="000D1CE8" w:rsidRDefault="000D1CE8" w:rsidP="000D1CE8">
      <w:pPr>
        <w:pStyle w:val="Akapitzlist"/>
        <w:numPr>
          <w:ilvl w:val="0"/>
          <w:numId w:val="21"/>
        </w:numPr>
        <w:spacing w:after="0" w:line="360" w:lineRule="auto"/>
        <w:rPr>
          <w:rFonts w:eastAsia="Times New Roman"/>
          <w:color w:val="000000"/>
        </w:rPr>
      </w:pPr>
      <w:r w:rsidRPr="000D1CE8">
        <w:rPr>
          <w:rFonts w:eastAsia="Times New Roman"/>
          <w:color w:val="000000"/>
        </w:rPr>
        <w:t xml:space="preserve">Ekonomia miast, utopie i </w:t>
      </w:r>
      <w:proofErr w:type="spellStart"/>
      <w:r w:rsidRPr="000D1CE8">
        <w:rPr>
          <w:rFonts w:eastAsia="Times New Roman"/>
          <w:color w:val="000000"/>
        </w:rPr>
        <w:t>dystopie</w:t>
      </w:r>
      <w:proofErr w:type="spellEnd"/>
      <w:r w:rsidRPr="000D1CE8">
        <w:rPr>
          <w:rFonts w:eastAsia="Times New Roman"/>
          <w:color w:val="000000"/>
        </w:rPr>
        <w:t>, miasta przyszłości</w:t>
      </w:r>
    </w:p>
    <w:p w:rsidR="003B3F2D" w:rsidRDefault="003B3F2D" w:rsidP="003B3F2D">
      <w:pPr>
        <w:tabs>
          <w:tab w:val="left" w:pos="142"/>
        </w:tabs>
        <w:spacing w:after="0" w:line="360" w:lineRule="auto"/>
        <w:jc w:val="both"/>
        <w:rPr>
          <w:sz w:val="24"/>
          <w:szCs w:val="24"/>
        </w:rPr>
      </w:pPr>
    </w:p>
    <w:p w:rsidR="000B4CA0" w:rsidRDefault="00B33462" w:rsidP="00233CF6">
      <w:pPr>
        <w:spacing w:line="240" w:lineRule="auto"/>
        <w:rPr>
          <w:sz w:val="24"/>
          <w:szCs w:val="24"/>
        </w:rPr>
      </w:pPr>
      <w:r w:rsidRPr="00B33462">
        <w:rPr>
          <w:b/>
          <w:sz w:val="36"/>
          <w:szCs w:val="36"/>
          <w:u w:val="single"/>
        </w:rPr>
        <w:t xml:space="preserve">dr hab. inż. Krzysztof </w:t>
      </w:r>
      <w:proofErr w:type="spellStart"/>
      <w:r w:rsidRPr="00B33462">
        <w:rPr>
          <w:b/>
          <w:sz w:val="36"/>
          <w:szCs w:val="36"/>
          <w:u w:val="single"/>
        </w:rPr>
        <w:t>Berbeka</w:t>
      </w:r>
      <w:proofErr w:type="spellEnd"/>
      <w:r w:rsidRPr="00B33462">
        <w:rPr>
          <w:b/>
          <w:sz w:val="36"/>
          <w:szCs w:val="36"/>
          <w:u w:val="single"/>
        </w:rPr>
        <w:t>, prof. UJ</w:t>
      </w:r>
      <w:r>
        <w:rPr>
          <w:sz w:val="24"/>
          <w:szCs w:val="24"/>
        </w:rPr>
        <w:t xml:space="preserve"> </w:t>
      </w:r>
    </w:p>
    <w:p w:rsidR="00233CF6" w:rsidRPr="00233CF6" w:rsidRDefault="00233CF6" w:rsidP="00233CF6">
      <w:pPr>
        <w:numPr>
          <w:ilvl w:val="0"/>
          <w:numId w:val="23"/>
        </w:numPr>
        <w:spacing w:before="60" w:after="0" w:line="360" w:lineRule="auto"/>
        <w:jc w:val="both"/>
        <w:rPr>
          <w:b/>
        </w:rPr>
      </w:pPr>
      <w:r w:rsidRPr="00233CF6">
        <w:rPr>
          <w:b/>
        </w:rPr>
        <w:t>Problematyka akcesyjna</w:t>
      </w:r>
    </w:p>
    <w:p w:rsidR="00233CF6" w:rsidRPr="00233CF6" w:rsidRDefault="00233CF6" w:rsidP="00233CF6">
      <w:pPr>
        <w:numPr>
          <w:ilvl w:val="0"/>
          <w:numId w:val="22"/>
        </w:numPr>
        <w:spacing w:before="60" w:after="0" w:line="360" w:lineRule="auto"/>
        <w:jc w:val="both"/>
      </w:pPr>
      <w:r w:rsidRPr="00233CF6">
        <w:t>Problematyka przystąpienia Polski do UE (aspekty makroekonomiczne).</w:t>
      </w:r>
    </w:p>
    <w:p w:rsidR="00233CF6" w:rsidRPr="00233CF6" w:rsidRDefault="00233CF6" w:rsidP="00233CF6">
      <w:pPr>
        <w:numPr>
          <w:ilvl w:val="0"/>
          <w:numId w:val="22"/>
        </w:numPr>
        <w:spacing w:before="60" w:after="0" w:line="360" w:lineRule="auto"/>
        <w:jc w:val="both"/>
      </w:pPr>
      <w:r w:rsidRPr="00233CF6">
        <w:t>Przyjęcie waluty euro w krajach członkowskich, konsekwencje, rachunek kosztów i korzyści</w:t>
      </w:r>
    </w:p>
    <w:p w:rsidR="00233CF6" w:rsidRPr="00233CF6" w:rsidRDefault="00233CF6" w:rsidP="00233CF6">
      <w:pPr>
        <w:numPr>
          <w:ilvl w:val="0"/>
          <w:numId w:val="22"/>
        </w:numPr>
        <w:spacing w:before="60" w:after="0" w:line="360" w:lineRule="auto"/>
        <w:jc w:val="both"/>
      </w:pPr>
      <w:r w:rsidRPr="00233CF6">
        <w:t>Taktyka wykorzystania środków pomocy UE w aspekcie makroekonomicznym.</w:t>
      </w:r>
    </w:p>
    <w:p w:rsidR="00233CF6" w:rsidRPr="00233CF6" w:rsidRDefault="00233CF6" w:rsidP="00233CF6">
      <w:pPr>
        <w:numPr>
          <w:ilvl w:val="0"/>
          <w:numId w:val="22"/>
        </w:numPr>
        <w:spacing w:before="60" w:after="0" w:line="360" w:lineRule="auto"/>
        <w:jc w:val="both"/>
      </w:pPr>
      <w:r w:rsidRPr="00233CF6">
        <w:t>Zasady korzystania ze środków pomocowych UE, podejście mikroekonomiczne (zasady ubiegania się o dotacje z różnorodnych funduszy UE przez pojedyncze podmioty gospodarcze, gminy itd.).</w:t>
      </w:r>
    </w:p>
    <w:p w:rsidR="00233CF6" w:rsidRPr="00233CF6" w:rsidRDefault="00233CF6" w:rsidP="00233CF6">
      <w:pPr>
        <w:numPr>
          <w:ilvl w:val="0"/>
          <w:numId w:val="22"/>
        </w:numPr>
        <w:spacing w:before="60" w:after="0" w:line="360" w:lineRule="auto"/>
        <w:jc w:val="both"/>
      </w:pPr>
      <w:r w:rsidRPr="00233CF6">
        <w:t>Rachunki kosztów i korzyści akcesji– wybrane przykłady.</w:t>
      </w:r>
    </w:p>
    <w:p w:rsidR="00233CF6" w:rsidRPr="00233CF6" w:rsidRDefault="00233CF6" w:rsidP="00233CF6">
      <w:pPr>
        <w:spacing w:before="60" w:line="360" w:lineRule="auto"/>
        <w:ind w:left="720"/>
        <w:jc w:val="both"/>
      </w:pPr>
    </w:p>
    <w:p w:rsidR="00233CF6" w:rsidRPr="00233CF6" w:rsidRDefault="00233CF6" w:rsidP="00233CF6">
      <w:pPr>
        <w:numPr>
          <w:ilvl w:val="0"/>
          <w:numId w:val="23"/>
        </w:numPr>
        <w:spacing w:before="60" w:after="0" w:line="360" w:lineRule="auto"/>
        <w:jc w:val="both"/>
        <w:rPr>
          <w:b/>
        </w:rPr>
      </w:pPr>
      <w:r w:rsidRPr="00233CF6">
        <w:rPr>
          <w:b/>
        </w:rPr>
        <w:t>Globalne problemy ekologiczne (zmiany klimatyczne, dziura ozonowa, bioróżnorodność)</w:t>
      </w:r>
    </w:p>
    <w:p w:rsidR="00233CF6" w:rsidRPr="00233CF6" w:rsidRDefault="00233CF6" w:rsidP="00233CF6">
      <w:pPr>
        <w:numPr>
          <w:ilvl w:val="0"/>
          <w:numId w:val="22"/>
        </w:numPr>
        <w:spacing w:before="60" w:after="0" w:line="360" w:lineRule="auto"/>
        <w:jc w:val="both"/>
      </w:pPr>
      <w:r w:rsidRPr="00233CF6">
        <w:t>Problem negocjacji międzynarodowych przy rozwiązywaniu globalnych problemów środowiskowych.</w:t>
      </w:r>
    </w:p>
    <w:p w:rsidR="00233CF6" w:rsidRPr="00233CF6" w:rsidRDefault="00233CF6" w:rsidP="00233CF6">
      <w:pPr>
        <w:numPr>
          <w:ilvl w:val="0"/>
          <w:numId w:val="22"/>
        </w:numPr>
        <w:spacing w:before="60" w:after="0" w:line="360" w:lineRule="auto"/>
        <w:jc w:val="both"/>
      </w:pPr>
      <w:r w:rsidRPr="00233CF6">
        <w:t>Wdrażanie międzynarodowych porozumień – Polska i kraje UE.</w:t>
      </w:r>
    </w:p>
    <w:p w:rsidR="00233CF6" w:rsidRPr="00233CF6" w:rsidRDefault="00233CF6" w:rsidP="00233CF6">
      <w:pPr>
        <w:numPr>
          <w:ilvl w:val="0"/>
          <w:numId w:val="22"/>
        </w:numPr>
        <w:spacing w:before="60" w:after="0" w:line="360" w:lineRule="auto"/>
        <w:jc w:val="both"/>
      </w:pPr>
      <w:r w:rsidRPr="00233CF6">
        <w:t>Zagadnienia sprawiedliwości i zasad podziału zobowiązań przy porozumieniach międzynarodowych zmierzających do zapobiegania zjawiskom o charakterze globalnym.</w:t>
      </w:r>
    </w:p>
    <w:p w:rsidR="00233CF6" w:rsidRPr="00233CF6" w:rsidRDefault="00233CF6" w:rsidP="00233CF6">
      <w:pPr>
        <w:spacing w:before="60" w:line="360" w:lineRule="auto"/>
        <w:ind w:left="360"/>
        <w:jc w:val="both"/>
      </w:pPr>
    </w:p>
    <w:p w:rsidR="00233CF6" w:rsidRPr="00233CF6" w:rsidRDefault="00233CF6" w:rsidP="00233CF6">
      <w:pPr>
        <w:numPr>
          <w:ilvl w:val="0"/>
          <w:numId w:val="23"/>
        </w:numPr>
        <w:spacing w:before="60" w:after="0" w:line="360" w:lineRule="auto"/>
        <w:jc w:val="both"/>
        <w:rPr>
          <w:b/>
        </w:rPr>
      </w:pPr>
      <w:r w:rsidRPr="00233CF6">
        <w:rPr>
          <w:b/>
        </w:rPr>
        <w:t>Energetyka</w:t>
      </w:r>
    </w:p>
    <w:p w:rsidR="00233CF6" w:rsidRPr="00233CF6" w:rsidRDefault="00233CF6" w:rsidP="00233CF6">
      <w:pPr>
        <w:numPr>
          <w:ilvl w:val="0"/>
          <w:numId w:val="22"/>
        </w:numPr>
        <w:spacing w:before="60" w:after="0" w:line="360" w:lineRule="auto"/>
        <w:jc w:val="both"/>
      </w:pPr>
      <w:r w:rsidRPr="00233CF6">
        <w:t>Polityka energetyczna na poziomie UE oraz wybranych krajów.</w:t>
      </w:r>
    </w:p>
    <w:p w:rsidR="00233CF6" w:rsidRPr="00233CF6" w:rsidRDefault="00233CF6" w:rsidP="00233CF6">
      <w:pPr>
        <w:numPr>
          <w:ilvl w:val="0"/>
          <w:numId w:val="22"/>
        </w:numPr>
        <w:spacing w:before="60" w:after="0" w:line="360" w:lineRule="auto"/>
        <w:jc w:val="both"/>
      </w:pPr>
      <w:r w:rsidRPr="00233CF6">
        <w:t>Odnawialne źródła energii: koncepcje wsparcia ze środków publicznych, efektywność wsparcia publicznego, wpływ na ceny energii, problematyka realizacji pojedynczych projektów.</w:t>
      </w:r>
    </w:p>
    <w:p w:rsidR="00233CF6" w:rsidRPr="00233CF6" w:rsidRDefault="00233CF6" w:rsidP="00233CF6">
      <w:pPr>
        <w:numPr>
          <w:ilvl w:val="0"/>
          <w:numId w:val="22"/>
        </w:numPr>
        <w:spacing w:before="60" w:after="0" w:line="360" w:lineRule="auto"/>
        <w:jc w:val="both"/>
      </w:pPr>
      <w:r w:rsidRPr="00233CF6">
        <w:t>Kontrowersje wokół energetyki jądrowej, górnictwa węgli – analizy ekonomiczne.</w:t>
      </w:r>
    </w:p>
    <w:p w:rsidR="00233CF6" w:rsidRPr="00233CF6" w:rsidRDefault="00233CF6" w:rsidP="00233CF6">
      <w:pPr>
        <w:spacing w:before="60" w:line="360" w:lineRule="auto"/>
        <w:ind w:left="360"/>
        <w:jc w:val="both"/>
      </w:pPr>
    </w:p>
    <w:p w:rsidR="00233CF6" w:rsidRPr="00233CF6" w:rsidRDefault="00233CF6" w:rsidP="00233CF6">
      <w:pPr>
        <w:numPr>
          <w:ilvl w:val="0"/>
          <w:numId w:val="23"/>
        </w:numPr>
        <w:spacing w:before="60" w:after="0" w:line="360" w:lineRule="auto"/>
        <w:jc w:val="both"/>
        <w:rPr>
          <w:b/>
        </w:rPr>
      </w:pPr>
      <w:r w:rsidRPr="00233CF6">
        <w:rPr>
          <w:b/>
        </w:rPr>
        <w:lastRenderedPageBreak/>
        <w:t>Przedsięwzięcia związane z dostosowaniem prawa do wymagań międzynarodowych w obszarze ochrony środowiska</w:t>
      </w:r>
    </w:p>
    <w:p w:rsidR="00233CF6" w:rsidRPr="00233CF6" w:rsidRDefault="00233CF6" w:rsidP="00233CF6">
      <w:pPr>
        <w:numPr>
          <w:ilvl w:val="0"/>
          <w:numId w:val="22"/>
        </w:numPr>
        <w:spacing w:before="60" w:after="0" w:line="360" w:lineRule="auto"/>
        <w:jc w:val="both"/>
      </w:pPr>
      <w:r w:rsidRPr="00233CF6">
        <w:t>Efektywność ekonomiczna i społeczna przedsięwzięć ochronnych z punktu widzenia przedsiębiorstw oraz społeczeństwa.</w:t>
      </w:r>
    </w:p>
    <w:p w:rsidR="00233CF6" w:rsidRPr="00233CF6" w:rsidRDefault="00233CF6" w:rsidP="00233CF6">
      <w:pPr>
        <w:numPr>
          <w:ilvl w:val="0"/>
          <w:numId w:val="22"/>
        </w:numPr>
        <w:spacing w:before="60" w:after="0" w:line="360" w:lineRule="auto"/>
        <w:jc w:val="both"/>
      </w:pPr>
      <w:r w:rsidRPr="00233CF6">
        <w:t>Jednostki samorządu terytorialnego wobec nowych obowiązków związanych z przyjęciem i wdrożeniem prawa UE w zakresie ochrony środowiska.</w:t>
      </w:r>
    </w:p>
    <w:p w:rsidR="00233CF6" w:rsidRPr="00233CF6" w:rsidRDefault="00233CF6" w:rsidP="00233CF6">
      <w:pPr>
        <w:numPr>
          <w:ilvl w:val="0"/>
          <w:numId w:val="22"/>
        </w:numPr>
        <w:spacing w:before="60" w:after="0" w:line="360" w:lineRule="auto"/>
        <w:jc w:val="both"/>
      </w:pPr>
      <w:r w:rsidRPr="00233CF6">
        <w:t>Przedsiębiorstwa wobec nowych obowiązków związanych z przyjęciem i wdrożeniem prawa UE w zakresie ochrony środowiska.</w:t>
      </w:r>
    </w:p>
    <w:p w:rsidR="00233CF6" w:rsidRPr="00233CF6" w:rsidRDefault="00233CF6" w:rsidP="00233CF6">
      <w:pPr>
        <w:numPr>
          <w:ilvl w:val="0"/>
          <w:numId w:val="22"/>
        </w:numPr>
        <w:spacing w:before="60" w:after="0" w:line="360" w:lineRule="auto"/>
        <w:jc w:val="both"/>
      </w:pPr>
      <w:r w:rsidRPr="00233CF6">
        <w:t>Rozwiązania związane z ograniczaniem skutków niskiej emisji, Kraków i inne przykłady.</w:t>
      </w:r>
    </w:p>
    <w:p w:rsidR="00233CF6" w:rsidRPr="00233CF6" w:rsidRDefault="00233CF6" w:rsidP="00233CF6">
      <w:pPr>
        <w:spacing w:before="60" w:line="360" w:lineRule="auto"/>
        <w:ind w:left="360"/>
        <w:jc w:val="both"/>
      </w:pPr>
    </w:p>
    <w:p w:rsidR="00233CF6" w:rsidRPr="00233CF6" w:rsidRDefault="00233CF6" w:rsidP="00233CF6">
      <w:pPr>
        <w:numPr>
          <w:ilvl w:val="0"/>
          <w:numId w:val="23"/>
        </w:numPr>
        <w:spacing w:before="60" w:after="0" w:line="360" w:lineRule="auto"/>
        <w:jc w:val="both"/>
        <w:rPr>
          <w:b/>
        </w:rPr>
      </w:pPr>
      <w:r w:rsidRPr="00233CF6">
        <w:rPr>
          <w:b/>
        </w:rPr>
        <w:t>Instrumenty polityki ekologicznej i energetycznej</w:t>
      </w:r>
    </w:p>
    <w:p w:rsidR="00233CF6" w:rsidRPr="00233CF6" w:rsidRDefault="00233CF6" w:rsidP="00233CF6">
      <w:pPr>
        <w:numPr>
          <w:ilvl w:val="0"/>
          <w:numId w:val="22"/>
        </w:numPr>
        <w:spacing w:before="60" w:after="0" w:line="360" w:lineRule="auto"/>
        <w:jc w:val="both"/>
      </w:pPr>
      <w:r w:rsidRPr="00233CF6">
        <w:t>Efektywność i skuteczność polityki ekologicznej oraz  jej poszczególnych instrumentów (opłat, kar, opłat produktowych).</w:t>
      </w:r>
    </w:p>
    <w:p w:rsidR="00233CF6" w:rsidRPr="00233CF6" w:rsidRDefault="00233CF6" w:rsidP="00233CF6">
      <w:pPr>
        <w:numPr>
          <w:ilvl w:val="0"/>
          <w:numId w:val="22"/>
        </w:numPr>
        <w:spacing w:before="60" w:after="0" w:line="360" w:lineRule="auto"/>
        <w:jc w:val="both"/>
      </w:pPr>
      <w:r w:rsidRPr="00233CF6">
        <w:t>Egzekwowanie zasad „płaci zanieczyszczający” i „płaci użytkownik” w polityce ochrony środowiska- wybrane przykłady (energetyka, gospodarka wodna, gospodarka odpadami)</w:t>
      </w:r>
    </w:p>
    <w:p w:rsidR="00233CF6" w:rsidRPr="00233CF6" w:rsidRDefault="00233CF6" w:rsidP="00233CF6">
      <w:pPr>
        <w:numPr>
          <w:ilvl w:val="0"/>
          <w:numId w:val="22"/>
        </w:numPr>
        <w:spacing w:before="60" w:after="0" w:line="360" w:lineRule="auto"/>
        <w:jc w:val="both"/>
      </w:pPr>
      <w:r w:rsidRPr="00233CF6">
        <w:t>Reakcje gospodarstw domowych na instrumenty polityki ekologicznej (problematyka optymalizacji zużycia energii, wody, produkcji odpadów).</w:t>
      </w:r>
    </w:p>
    <w:p w:rsidR="00233CF6" w:rsidRPr="00233CF6" w:rsidRDefault="00233CF6" w:rsidP="00233CF6">
      <w:pPr>
        <w:numPr>
          <w:ilvl w:val="0"/>
          <w:numId w:val="22"/>
        </w:numPr>
        <w:spacing w:before="60" w:after="0" w:line="360" w:lineRule="auto"/>
        <w:jc w:val="both"/>
      </w:pPr>
      <w:r w:rsidRPr="00233CF6">
        <w:t>Wycena warunkowa jako instrument określania zmian  wartości środowiska.</w:t>
      </w:r>
    </w:p>
    <w:p w:rsidR="00233CF6" w:rsidRPr="00233CF6" w:rsidRDefault="00233CF6" w:rsidP="00233CF6">
      <w:pPr>
        <w:numPr>
          <w:ilvl w:val="0"/>
          <w:numId w:val="22"/>
        </w:numPr>
        <w:spacing w:before="60" w:after="0" w:line="360" w:lineRule="auto"/>
        <w:jc w:val="both"/>
      </w:pPr>
      <w:r w:rsidRPr="00233CF6">
        <w:t>Handel uprawnieniami do emisji zanieczyszczeń jako narzędzie minimalizacji kosztów spełnienia wybranych celów ekologicznych - aspekty globalne i regionalne.</w:t>
      </w:r>
    </w:p>
    <w:p w:rsidR="00233CF6" w:rsidRPr="00233CF6" w:rsidRDefault="00233CF6" w:rsidP="00233CF6">
      <w:pPr>
        <w:numPr>
          <w:ilvl w:val="0"/>
          <w:numId w:val="22"/>
        </w:numPr>
        <w:spacing w:before="60" w:after="0" w:line="360" w:lineRule="auto"/>
        <w:jc w:val="both"/>
      </w:pPr>
      <w:r w:rsidRPr="00233CF6">
        <w:t>Ochrona przeciwpowodziowa jako dobro publiczne – analiza efektywności w dowolnie wybranej skali.</w:t>
      </w:r>
    </w:p>
    <w:p w:rsidR="00233CF6" w:rsidRPr="00233CF6" w:rsidRDefault="00233CF6" w:rsidP="00233CF6">
      <w:pPr>
        <w:numPr>
          <w:ilvl w:val="0"/>
          <w:numId w:val="22"/>
        </w:numPr>
        <w:spacing w:after="0" w:line="360" w:lineRule="auto"/>
        <w:jc w:val="both"/>
      </w:pPr>
      <w:r w:rsidRPr="00233CF6">
        <w:t>Problematyka limitacji dostępu do obszarów przyrodniczo cennych w warunkach dużej presji turystycznej, doświadczenia z instrumentami ekonomicznymi (opłaty), administracyjnymi (loterie).</w:t>
      </w:r>
    </w:p>
    <w:p w:rsidR="00233CF6" w:rsidRDefault="00233CF6" w:rsidP="00B33462">
      <w:pPr>
        <w:spacing w:line="240" w:lineRule="auto"/>
        <w:rPr>
          <w:b/>
          <w:sz w:val="36"/>
          <w:szCs w:val="36"/>
          <w:u w:val="single"/>
        </w:rPr>
      </w:pPr>
    </w:p>
    <w:p w:rsidR="00B33462" w:rsidRDefault="00B33462" w:rsidP="00B33462">
      <w:pPr>
        <w:spacing w:line="240" w:lineRule="auto"/>
        <w:rPr>
          <w:sz w:val="24"/>
          <w:szCs w:val="24"/>
        </w:rPr>
      </w:pPr>
      <w:r w:rsidRPr="00B33462">
        <w:rPr>
          <w:b/>
          <w:sz w:val="36"/>
          <w:szCs w:val="36"/>
          <w:u w:val="single"/>
        </w:rPr>
        <w:t xml:space="preserve">dr Marek </w:t>
      </w:r>
      <w:proofErr w:type="spellStart"/>
      <w:r w:rsidRPr="00B33462">
        <w:rPr>
          <w:b/>
          <w:sz w:val="36"/>
          <w:szCs w:val="36"/>
          <w:u w:val="single"/>
        </w:rPr>
        <w:t>Jarzębiński</w:t>
      </w:r>
      <w:proofErr w:type="spellEnd"/>
      <w:r>
        <w:rPr>
          <w:sz w:val="24"/>
          <w:szCs w:val="24"/>
        </w:rPr>
        <w:t xml:space="preserve">  - tematy zagadnień seminaryjnych do ustalenia z Promotorem</w:t>
      </w:r>
    </w:p>
    <w:p w:rsidR="00B33462" w:rsidRDefault="00B33462" w:rsidP="00345E94">
      <w:pPr>
        <w:spacing w:line="240" w:lineRule="auto"/>
        <w:jc w:val="center"/>
        <w:rPr>
          <w:sz w:val="24"/>
          <w:szCs w:val="24"/>
        </w:rPr>
      </w:pPr>
    </w:p>
    <w:p w:rsidR="00B33462" w:rsidRDefault="00B33462" w:rsidP="00345E94">
      <w:pPr>
        <w:spacing w:line="240" w:lineRule="auto"/>
        <w:jc w:val="center"/>
        <w:rPr>
          <w:sz w:val="24"/>
          <w:szCs w:val="24"/>
        </w:rPr>
      </w:pPr>
    </w:p>
    <w:p w:rsidR="0052203A" w:rsidRPr="005C60D5" w:rsidRDefault="0052203A" w:rsidP="00233CF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5C60D5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UWAGA !</w:t>
      </w:r>
    </w:p>
    <w:p w:rsidR="0052203A" w:rsidRPr="005C60D5" w:rsidRDefault="0052203A" w:rsidP="00345E9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  <w:r w:rsidRPr="005C60D5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Zapisy do grupy seminaryjnej prowadzone są wyłącznie w systemie USOS – jest to jedyna możliwość zapisania się na seminarium.</w:t>
      </w:r>
    </w:p>
    <w:p w:rsidR="0052203A" w:rsidRPr="005C60D5" w:rsidRDefault="0052203A" w:rsidP="00345E9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color w:val="000000"/>
          <w:sz w:val="24"/>
          <w:szCs w:val="24"/>
          <w:u w:val="single"/>
          <w:lang w:eastAsia="en-US"/>
        </w:rPr>
      </w:pPr>
    </w:p>
    <w:p w:rsidR="0052203A" w:rsidRPr="005C60D5" w:rsidRDefault="0052203A" w:rsidP="00345E9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b/>
          <w:bCs/>
          <w:color w:val="000000"/>
          <w:sz w:val="24"/>
          <w:szCs w:val="24"/>
          <w:u w:val="single"/>
          <w:lang w:eastAsia="en-US"/>
        </w:rPr>
      </w:pPr>
      <w:r w:rsidRPr="005C60D5">
        <w:rPr>
          <w:rFonts w:ascii="Calibri" w:eastAsiaTheme="minorHAnsi" w:hAnsi="Calibri" w:cs="Calibri"/>
          <w:b/>
          <w:bCs/>
          <w:color w:val="000000"/>
          <w:sz w:val="24"/>
          <w:szCs w:val="24"/>
          <w:u w:val="single"/>
          <w:lang w:eastAsia="en-US"/>
        </w:rPr>
        <w:t>OBOWIĄZUJE KOLEJNOŚĆ ZGŁOSZEŃ</w:t>
      </w:r>
    </w:p>
    <w:p w:rsidR="0052203A" w:rsidRPr="005C60D5" w:rsidRDefault="0052203A" w:rsidP="00345E9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52203A" w:rsidRPr="005C60D5" w:rsidRDefault="0052203A" w:rsidP="00345E9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5C60D5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Seminarium zostanie uruchomione przy zapisie minimum 8 osób.</w:t>
      </w:r>
    </w:p>
    <w:p w:rsidR="0010220F" w:rsidRPr="00A63BE0" w:rsidRDefault="0052203A" w:rsidP="00A63BE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5C60D5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Wyżej wymienione tematy stanowią jedynie przykłady problematyki seminarium, mile widzian</w:t>
      </w:r>
      <w:r w:rsidR="00A63BE0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e własne propozycje uczestników</w:t>
      </w:r>
      <w:r w:rsidR="00E04814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.</w:t>
      </w:r>
      <w:bookmarkStart w:id="0" w:name="_GoBack"/>
      <w:bookmarkEnd w:id="0"/>
    </w:p>
    <w:sectPr w:rsidR="0010220F" w:rsidRPr="00A63BE0" w:rsidSect="00E446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4B33"/>
    <w:multiLevelType w:val="hybridMultilevel"/>
    <w:tmpl w:val="D3D65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655BC"/>
    <w:multiLevelType w:val="hybridMultilevel"/>
    <w:tmpl w:val="7B864120"/>
    <w:lvl w:ilvl="0" w:tplc="413AA2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73FFD"/>
    <w:multiLevelType w:val="hybridMultilevel"/>
    <w:tmpl w:val="F6886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00471"/>
    <w:multiLevelType w:val="hybridMultilevel"/>
    <w:tmpl w:val="D31E9BD4"/>
    <w:lvl w:ilvl="0" w:tplc="B9E4D9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36C9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97790D"/>
    <w:multiLevelType w:val="hybridMultilevel"/>
    <w:tmpl w:val="B11C1E20"/>
    <w:lvl w:ilvl="0" w:tplc="2F3A38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F16510"/>
    <w:multiLevelType w:val="hybridMultilevel"/>
    <w:tmpl w:val="DCDED20C"/>
    <w:lvl w:ilvl="0" w:tplc="2F3A38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7A7CBA"/>
    <w:multiLevelType w:val="hybridMultilevel"/>
    <w:tmpl w:val="7B468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6608D"/>
    <w:multiLevelType w:val="hybridMultilevel"/>
    <w:tmpl w:val="26C4B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349D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1F872850"/>
    <w:multiLevelType w:val="hybridMultilevel"/>
    <w:tmpl w:val="67049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E26E8"/>
    <w:multiLevelType w:val="hybridMultilevel"/>
    <w:tmpl w:val="41305A1C"/>
    <w:lvl w:ilvl="0" w:tplc="2F3A38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D397E"/>
    <w:multiLevelType w:val="hybridMultilevel"/>
    <w:tmpl w:val="F106F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E47C3F"/>
    <w:multiLevelType w:val="hybridMultilevel"/>
    <w:tmpl w:val="BCDCD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E7883"/>
    <w:multiLevelType w:val="hybridMultilevel"/>
    <w:tmpl w:val="1D4A024A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28AA837A">
      <w:start w:val="1"/>
      <w:numFmt w:val="decimal"/>
      <w:lvlText w:val="%2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333368A1"/>
    <w:multiLevelType w:val="hybridMultilevel"/>
    <w:tmpl w:val="6F7C5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F4D1D"/>
    <w:multiLevelType w:val="hybridMultilevel"/>
    <w:tmpl w:val="13E48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53053"/>
    <w:multiLevelType w:val="hybridMultilevel"/>
    <w:tmpl w:val="CE8C7138"/>
    <w:lvl w:ilvl="0" w:tplc="2F3A38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A95B53"/>
    <w:multiLevelType w:val="hybridMultilevel"/>
    <w:tmpl w:val="76528CCC"/>
    <w:lvl w:ilvl="0" w:tplc="D8C0FE5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901E72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701F0"/>
    <w:multiLevelType w:val="hybridMultilevel"/>
    <w:tmpl w:val="9328EE74"/>
    <w:lvl w:ilvl="0" w:tplc="4F969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21B2E"/>
    <w:multiLevelType w:val="hybridMultilevel"/>
    <w:tmpl w:val="BD7244E6"/>
    <w:lvl w:ilvl="0" w:tplc="2F3A38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987835"/>
    <w:multiLevelType w:val="hybridMultilevel"/>
    <w:tmpl w:val="130E3D3A"/>
    <w:lvl w:ilvl="0" w:tplc="AA7A958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8D5ABD"/>
    <w:multiLevelType w:val="hybridMultilevel"/>
    <w:tmpl w:val="8BB63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F3C6F"/>
    <w:multiLevelType w:val="hybridMultilevel"/>
    <w:tmpl w:val="51C69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16"/>
  </w:num>
  <w:num w:numId="8">
    <w:abstractNumId w:val="19"/>
  </w:num>
  <w:num w:numId="9">
    <w:abstractNumId w:val="15"/>
  </w:num>
  <w:num w:numId="10">
    <w:abstractNumId w:val="7"/>
  </w:num>
  <w:num w:numId="11">
    <w:abstractNumId w:val="21"/>
  </w:num>
  <w:num w:numId="12">
    <w:abstractNumId w:val="9"/>
  </w:num>
  <w:num w:numId="13">
    <w:abstractNumId w:val="13"/>
  </w:num>
  <w:num w:numId="14">
    <w:abstractNumId w:val="6"/>
  </w:num>
  <w:num w:numId="15">
    <w:abstractNumId w:val="14"/>
  </w:num>
  <w:num w:numId="16">
    <w:abstractNumId w:val="22"/>
  </w:num>
  <w:num w:numId="17">
    <w:abstractNumId w:val="12"/>
  </w:num>
  <w:num w:numId="18">
    <w:abstractNumId w:val="17"/>
  </w:num>
  <w:num w:numId="19">
    <w:abstractNumId w:val="20"/>
  </w:num>
  <w:num w:numId="20">
    <w:abstractNumId w:val="2"/>
  </w:num>
  <w:num w:numId="21">
    <w:abstractNumId w:val="1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15"/>
    <w:rsid w:val="000260E6"/>
    <w:rsid w:val="00036ED9"/>
    <w:rsid w:val="00056D01"/>
    <w:rsid w:val="000855A9"/>
    <w:rsid w:val="000B4CA0"/>
    <w:rsid w:val="000D1CE8"/>
    <w:rsid w:val="0010220F"/>
    <w:rsid w:val="00103FAF"/>
    <w:rsid w:val="00175298"/>
    <w:rsid w:val="001E454D"/>
    <w:rsid w:val="001F7AF9"/>
    <w:rsid w:val="00233CF6"/>
    <w:rsid w:val="002735FB"/>
    <w:rsid w:val="00280815"/>
    <w:rsid w:val="00345E94"/>
    <w:rsid w:val="003553DB"/>
    <w:rsid w:val="00364D93"/>
    <w:rsid w:val="0039563F"/>
    <w:rsid w:val="003B0839"/>
    <w:rsid w:val="003B3F2D"/>
    <w:rsid w:val="003F4D9A"/>
    <w:rsid w:val="0041670C"/>
    <w:rsid w:val="00426196"/>
    <w:rsid w:val="0044548D"/>
    <w:rsid w:val="00471ACC"/>
    <w:rsid w:val="00480512"/>
    <w:rsid w:val="00480FC3"/>
    <w:rsid w:val="004C216D"/>
    <w:rsid w:val="004E3C05"/>
    <w:rsid w:val="004F6131"/>
    <w:rsid w:val="0052203A"/>
    <w:rsid w:val="00522D21"/>
    <w:rsid w:val="00573E34"/>
    <w:rsid w:val="005C60D5"/>
    <w:rsid w:val="005D4258"/>
    <w:rsid w:val="00656087"/>
    <w:rsid w:val="00677416"/>
    <w:rsid w:val="006B332E"/>
    <w:rsid w:val="006B7BD2"/>
    <w:rsid w:val="006D1CC1"/>
    <w:rsid w:val="007413F7"/>
    <w:rsid w:val="007533C1"/>
    <w:rsid w:val="00775770"/>
    <w:rsid w:val="00780087"/>
    <w:rsid w:val="007C0017"/>
    <w:rsid w:val="00845ECB"/>
    <w:rsid w:val="008925EE"/>
    <w:rsid w:val="008C3DC6"/>
    <w:rsid w:val="008D16BD"/>
    <w:rsid w:val="009063A8"/>
    <w:rsid w:val="00907211"/>
    <w:rsid w:val="00951E0F"/>
    <w:rsid w:val="00986E01"/>
    <w:rsid w:val="009A29E9"/>
    <w:rsid w:val="00A55B43"/>
    <w:rsid w:val="00A63BE0"/>
    <w:rsid w:val="00A7001E"/>
    <w:rsid w:val="00A94D8F"/>
    <w:rsid w:val="00AB3DCA"/>
    <w:rsid w:val="00AF7F49"/>
    <w:rsid w:val="00B14771"/>
    <w:rsid w:val="00B17250"/>
    <w:rsid w:val="00B2799C"/>
    <w:rsid w:val="00B27B29"/>
    <w:rsid w:val="00B33462"/>
    <w:rsid w:val="00B707F6"/>
    <w:rsid w:val="00B907E4"/>
    <w:rsid w:val="00BC2A51"/>
    <w:rsid w:val="00BF3F60"/>
    <w:rsid w:val="00C151FA"/>
    <w:rsid w:val="00C1783C"/>
    <w:rsid w:val="00C36370"/>
    <w:rsid w:val="00C63F65"/>
    <w:rsid w:val="00CF0AA0"/>
    <w:rsid w:val="00D120C0"/>
    <w:rsid w:val="00D14179"/>
    <w:rsid w:val="00D244D0"/>
    <w:rsid w:val="00D400BC"/>
    <w:rsid w:val="00D540BE"/>
    <w:rsid w:val="00D7718D"/>
    <w:rsid w:val="00DA769E"/>
    <w:rsid w:val="00E04814"/>
    <w:rsid w:val="00E44600"/>
    <w:rsid w:val="00E53B8F"/>
    <w:rsid w:val="00E96BDF"/>
    <w:rsid w:val="00E9731D"/>
    <w:rsid w:val="00F246E9"/>
    <w:rsid w:val="00F4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CDDD8-ABA9-40EA-9FE9-E45CA39F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B8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0017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Book Antiqua" w:eastAsia="Times New Roman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F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F7F49"/>
    <w:rPr>
      <w:b/>
      <w:bCs/>
    </w:rPr>
  </w:style>
  <w:style w:type="character" w:styleId="Hipercze">
    <w:name w:val="Hyperlink"/>
    <w:basedOn w:val="Domylnaczcionkaakapitu"/>
    <w:uiPriority w:val="99"/>
    <w:unhideWhenUsed/>
    <w:rsid w:val="00E53B8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25E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220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C0017"/>
    <w:rPr>
      <w:rFonts w:ascii="Book Antiqua" w:eastAsia="Times New Roman" w:hAnsi="Book Antiqu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IEiZ</dc:creator>
  <cp:keywords/>
  <dc:description/>
  <cp:lastModifiedBy>IEFiZ</cp:lastModifiedBy>
  <cp:revision>7</cp:revision>
  <dcterms:created xsi:type="dcterms:W3CDTF">2019-09-17T08:24:00Z</dcterms:created>
  <dcterms:modified xsi:type="dcterms:W3CDTF">2019-09-17T09:00:00Z</dcterms:modified>
</cp:coreProperties>
</file>